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6" w:type="dxa"/>
        <w:tblInd w:w="108" w:type="dxa"/>
        <w:tblLayout w:type="fixed"/>
        <w:tblLook w:val="0000" w:firstRow="0" w:lastRow="0" w:firstColumn="0" w:lastColumn="0" w:noHBand="0" w:noVBand="0"/>
      </w:tblPr>
      <w:tblGrid>
        <w:gridCol w:w="3576"/>
        <w:gridCol w:w="5670"/>
      </w:tblGrid>
      <w:tr w:rsidR="00ED1D01" w:rsidRPr="00E74C1C">
        <w:tblPrEx>
          <w:tblCellMar>
            <w:top w:w="0" w:type="dxa"/>
            <w:bottom w:w="0" w:type="dxa"/>
          </w:tblCellMar>
        </w:tblPrEx>
        <w:tc>
          <w:tcPr>
            <w:tcW w:w="3576" w:type="dxa"/>
          </w:tcPr>
          <w:p w:rsidR="00ED1D01" w:rsidRPr="00AA267A" w:rsidRDefault="00ED1D01">
            <w:pPr>
              <w:keepNext/>
              <w:jc w:val="center"/>
              <w:outlineLvl w:val="3"/>
              <w:rPr>
                <w:b/>
                <w:szCs w:val="24"/>
              </w:rPr>
            </w:pPr>
            <w:r w:rsidRPr="00AA267A">
              <w:rPr>
                <w:b/>
                <w:szCs w:val="24"/>
              </w:rPr>
              <w:t>BỘ CÔNG AN</w:t>
            </w:r>
          </w:p>
          <w:p w:rsidR="00ED1D01" w:rsidRPr="00E74C1C" w:rsidRDefault="0060521C">
            <w:pPr>
              <w:ind w:right="-67"/>
              <w:jc w:val="center"/>
            </w:pPr>
            <w:r w:rsidRPr="00E74C1C">
              <w:rPr>
                <w:b/>
                <w:noProof/>
              </w:rPr>
              <mc:AlternateContent>
                <mc:Choice Requires="wps">
                  <w:drawing>
                    <wp:anchor distT="0" distB="0" distL="114300" distR="114300" simplePos="0" relativeHeight="251656192" behindDoc="0" locked="0" layoutInCell="1" allowOverlap="1">
                      <wp:simplePos x="0" y="0"/>
                      <wp:positionH relativeFrom="column">
                        <wp:posOffset>752475</wp:posOffset>
                      </wp:positionH>
                      <wp:positionV relativeFrom="paragraph">
                        <wp:posOffset>35560</wp:posOffset>
                      </wp:positionV>
                      <wp:extent cx="590550" cy="0"/>
                      <wp:effectExtent l="0" t="0" r="0" b="0"/>
                      <wp:wrapNone/>
                      <wp:docPr id="4"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51FC2" id="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2.8pt" to="105.75pt,2.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ttdl+uAQAAWgMAAA4AAABkcnMvZTJvRG9jLnhtbKxTy27bMBC8F+g/ELzXUoyqqAXLOSRN&#13;&#10;LnkBaT9gTVIWEZJLkLQl/32X9CN1eyuiA6Hl7A53Zsnl9WQN26kQNbqOX81qzpQTKLXbdPzXz7sv&#13;&#10;3zmLCZwEg051fK8iv159/rQcfavmOKCRKjAicbEdfceHlHxbVVEMykKcoVeOwB6DhURh2FQywEjs&#13;&#10;1lTzuv5WjRikDyhUjLR7ewD5qvD3vRLpue+jSsx0nHpLZQ1lXZe1Wi2h3QTwgxbHPuA/2rCgHZ16&#13;&#10;prqFBGwb9D9UVouAEfs0E2gr7HstVBFBcq7qv+S8DuBVEUPuRH/2KX4crXjavQSmZce/cubA0ozY&#13;&#10;gjOyZfSxJfTGvYQsTEzu1T+geIsZrC7QHERPPOvxESVRwDZhsWPqg83VJJRNxfD9u+1qSkzQbrOo&#13;&#10;m4amI85YBe2p0oeY7hValn86brTLjkALu4eYSivQnnLyvsM7bUwGoDWOjR1fNPOmlEQ0WmY0YzFs&#13;&#10;1jcmsB3kq1G+IpuOvsgLuHXyQDcokD9OQQJtjgGVGHf0JNtw8G6Nck+WnMyi+VHKxQX5My7l709i&#13;&#10;9RsAAP//AwBQSwMEFAAGAAgAAAAhADpS7RbfAAAADQEAAA8AAABkcnMvZG93bnJldi54bWxMj0FP&#13;&#10;wzAMhe9I/IfISFwmlrZo09Q1nRCjNy4MEFevMW1F43RNthV+PUYc4GLp07Of3ys2k+vVicbQeTaQ&#13;&#10;zhNQxLW3HTcGXp6rmxWoEJEt9p7JwCcF2JSXFwXm1p/5iU672Cgx4ZCjgTbGIdc61C05DHM/EIv2&#13;&#10;7keHUXBstB3xLOau11mSLLXDjuVDiwPdt1R/7I7OQKhe6VB9zepZ8nbbeMoO28cHNOb6atquZdyt&#13;&#10;QUWa4t8F/HSQ/FBKsL0/sg2qF05XC1k1sFiCEj1LU+H9L+uy0P9blN8AAAD//wMAUEsBAi0AFAAG&#13;&#10;AAgAAAAhAFoik6P/AAAA5QEAABMAAAAAAAAAAAAAAAAAAAAAAFtDb250ZW50X1R5cGVzXS54bWxQ&#13;&#10;SwECLQAUAAYACAAAACEAp0rPONcAAACWAQAACwAAAAAAAAAAAAAAAAAwAQAAX3JlbHMvLnJlbHNQ&#13;&#10;SwECLQAUAAYACAAAACEA2212X64BAABaAwAADgAAAAAAAAAAAAAAAAAwAgAAZHJzL2Uyb0RvYy54&#13;&#10;bWxQSwECLQAUAAYACAAAACEAOlLtFt8AAAANAQAADwAAAAAAAAAAAAAAAAAKBAAAZHJzL2Rvd25y&#13;&#10;ZXYueG1sUEsFBgAAAAAEAAQA8wAAABYFAAAAAA==&#13;&#10;">
                      <o:lock v:ext="edit" shapetype="f"/>
                    </v:line>
                  </w:pict>
                </mc:Fallback>
              </mc:AlternateContent>
            </w:r>
          </w:p>
          <w:p w:rsidR="00ED1D01" w:rsidRPr="00E74C1C" w:rsidRDefault="00ED1D01">
            <w:pPr>
              <w:ind w:right="-67"/>
              <w:jc w:val="center"/>
            </w:pPr>
          </w:p>
          <w:p w:rsidR="00ED1D01" w:rsidRPr="00E74C1C" w:rsidRDefault="00ED1D01" w:rsidP="007D6B68">
            <w:pPr>
              <w:ind w:right="-67"/>
              <w:jc w:val="center"/>
            </w:pPr>
            <w:r w:rsidRPr="00E74C1C">
              <w:t xml:space="preserve">Số: </w:t>
            </w:r>
            <w:r w:rsidR="007D6B68">
              <w:t xml:space="preserve">     </w:t>
            </w:r>
            <w:r w:rsidR="008F4915">
              <w:t>/20</w:t>
            </w:r>
            <w:r w:rsidR="007D6B68">
              <w:t>21</w:t>
            </w:r>
            <w:r w:rsidRPr="00E74C1C">
              <w:t>/TT-BCA</w:t>
            </w:r>
          </w:p>
        </w:tc>
        <w:tc>
          <w:tcPr>
            <w:tcW w:w="5670" w:type="dxa"/>
          </w:tcPr>
          <w:p w:rsidR="00ED1D01" w:rsidRPr="00E74C1C" w:rsidRDefault="00ED1D01">
            <w:pPr>
              <w:keepNext/>
              <w:jc w:val="center"/>
              <w:outlineLvl w:val="4"/>
              <w:rPr>
                <w:b/>
                <w:sz w:val="26"/>
                <w:szCs w:val="24"/>
              </w:rPr>
            </w:pPr>
            <w:r w:rsidRPr="00E74C1C">
              <w:rPr>
                <w:b/>
                <w:sz w:val="26"/>
                <w:szCs w:val="24"/>
              </w:rPr>
              <w:t>CỘNG HOÀ XÃ HỘI CHỦ NGHĨA VIỆT NAM</w:t>
            </w:r>
          </w:p>
          <w:p w:rsidR="00ED1D01" w:rsidRPr="00E74C1C" w:rsidRDefault="00ED1D01">
            <w:pPr>
              <w:jc w:val="center"/>
              <w:rPr>
                <w:b/>
                <w:sz w:val="30"/>
              </w:rPr>
            </w:pPr>
            <w:r w:rsidRPr="00E74C1C">
              <w:rPr>
                <w:b/>
                <w:sz w:val="30"/>
              </w:rPr>
              <w:t>Độc lập - Tự do - Hạnh phúc</w:t>
            </w:r>
          </w:p>
          <w:p w:rsidR="00ED1D01" w:rsidRPr="00E74C1C" w:rsidRDefault="0060521C">
            <w:pPr>
              <w:jc w:val="center"/>
              <w:rPr>
                <w:i/>
              </w:rPr>
            </w:pPr>
            <w:r w:rsidRPr="00E74C1C">
              <w:rPr>
                <w:i/>
                <w:noProof/>
              </w:rPr>
              <mc:AlternateContent>
                <mc:Choice Requires="wps">
                  <w:drawing>
                    <wp:anchor distT="0" distB="0" distL="114300" distR="114300" simplePos="0" relativeHeight="251657216" behindDoc="0" locked="0" layoutInCell="1" allowOverlap="1">
                      <wp:simplePos x="0" y="0"/>
                      <wp:positionH relativeFrom="column">
                        <wp:posOffset>568325</wp:posOffset>
                      </wp:positionH>
                      <wp:positionV relativeFrom="paragraph">
                        <wp:posOffset>29210</wp:posOffset>
                      </wp:positionV>
                      <wp:extent cx="2327910" cy="0"/>
                      <wp:effectExtent l="0" t="0" r="0" b="0"/>
                      <wp:wrapNone/>
                      <wp:docPr id="3"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27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31710" id="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2.3pt" to="228.05pt,2.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ckKeyxAQAAXAMAAA4AAABkcnMvZTJvRG9jLnhtbKxTTW8TMRC9I/EfLN/JJlsVyCqbHlrK&#13;&#10;pUClwg+Y+CNrYXss28lu/j1j56MEbog9WDt+M8/z3tiru8lZtlcxGfQ9X8zmnCkvUBq/7fmP74/v&#13;&#10;PnKWMngJFr3q+UElfrd++2Y1hk61OKCVKjIi8akbQ8+HnEPXNEkMykGaYVCeQI3RQaYwbhsZYSR2&#13;&#10;Z5t2Pn/fjBhliChUSrT7cAT5uvJrrUT+pnVSmdmeU2+5rrGum7o26xV02whhMOLUB/xDGw6Mp1Mv&#13;&#10;VA+Qge2i+YvKGRExoc4zga5BrY1QVQTJWcz/kPMyQFBVDLmTwsWn9P9oxdf9c2RG9vyGMw+OZsQW&#13;&#10;S87IlzGkjuB7/xyLMjH5l/CE4mcqYHOFliAFItqMX1ASB+wyVj8mHV2pJqVsqo4fXn1XU2aCdtub&#13;&#10;9sNyQfMRF7CB7lwaYsqfFTpWfnpujS+eQAf7p5RrL9Cdc8q+x0djbQGgs56NPV/etre1JKE1sqAF&#13;&#10;S3G7ubeR7aFcjvpV3XT0VV7EnZdHukGB/HQOMhh7CqjE+pMpxYejeRuUB/Lk7BZNkFKursjvcS1/&#13;&#10;fRTrXwAAAP//AwBQSwMEFAAGAAgAAAAhAPkhPU3fAAAADAEAAA8AAABkcnMvZG93bnJldi54bWxM&#13;&#10;T01PwkAQvZv4HzZj4oXAFoQGS7fEiL15ASVeh3ZsG7uzpbtA9dc7xoNeXvLyZt5Huh5sq87U+8ax&#13;&#10;gekkAkVcuLLhysDrSz5egvIBucTWMRn4JA/r7PoqxaR0F97SeRcqJSbsEzRQh9AlWvuiJot+4jpi&#13;&#10;0d5dbzEI7Std9ngRc9vqWRTF2mLDklBjR481FR+7kzXg8z0d869RMYre7ipHs+Pm+QmNub0ZNiuB&#13;&#10;hxWoQEP4+4CfDdIfMil2cCcuvWoNLO8XcmlgHoMSeb6Ip6AOv1xnqf4/IvsGAAD//wMAUEsBAi0A&#13;&#10;FAAGAAgAAAAhAFoik6P/AAAA5QEAABMAAAAAAAAAAAAAAAAAAAAAAFtDb250ZW50X1R5cGVzXS54&#13;&#10;bWxQSwECLQAUAAYACAAAACEAp0rPONcAAACWAQAACwAAAAAAAAAAAAAAAAAwAQAAX3JlbHMvLnJl&#13;&#10;bHNQSwECLQAUAAYACAAAACEA9yQp7LEBAABcAwAADgAAAAAAAAAAAAAAAAAwAgAAZHJzL2Uyb0Rv&#13;&#10;Yy54bWxQSwECLQAUAAYACAAAACEA+SE9Td8AAAAMAQAADwAAAAAAAAAAAAAAAAANBAAAZHJzL2Rv&#13;&#10;d25yZXYueG1sUEsFBgAAAAAEAAQA8wAAABkFAAAAAA==&#13;&#10;">
                      <o:lock v:ext="edit" shapetype="f"/>
                    </v:line>
                  </w:pict>
                </mc:Fallback>
              </mc:AlternateContent>
            </w:r>
          </w:p>
          <w:p w:rsidR="00ED1D01" w:rsidRPr="00E74C1C" w:rsidRDefault="00ED1D01" w:rsidP="007D6B68">
            <w:pPr>
              <w:jc w:val="center"/>
            </w:pPr>
            <w:r>
              <w:rPr>
                <w:i/>
              </w:rPr>
              <w:t xml:space="preserve">Hà Nội, ngày </w:t>
            </w:r>
            <w:r w:rsidR="007D6B68">
              <w:rPr>
                <w:i/>
              </w:rPr>
              <w:t xml:space="preserve">   </w:t>
            </w:r>
            <w:r w:rsidR="00F03586">
              <w:rPr>
                <w:i/>
              </w:rPr>
              <w:t xml:space="preserve"> </w:t>
            </w:r>
            <w:r w:rsidRPr="00E74C1C">
              <w:rPr>
                <w:i/>
              </w:rPr>
              <w:t xml:space="preserve">tháng </w:t>
            </w:r>
            <w:r w:rsidR="007D6B68">
              <w:rPr>
                <w:i/>
              </w:rPr>
              <w:t xml:space="preserve">    </w:t>
            </w:r>
            <w:r w:rsidRPr="00E74C1C">
              <w:rPr>
                <w:i/>
              </w:rPr>
              <w:t xml:space="preserve"> năm 20</w:t>
            </w:r>
            <w:r w:rsidR="007D6B68">
              <w:rPr>
                <w:i/>
              </w:rPr>
              <w:t>21</w:t>
            </w:r>
          </w:p>
        </w:tc>
      </w:tr>
    </w:tbl>
    <w:p w:rsidR="00ED1D01" w:rsidRDefault="0060521C">
      <w:pPr>
        <w:jc w:val="center"/>
        <w:rPr>
          <w:b/>
        </w:rPr>
      </w:pPr>
      <w:bookmarkStart w:id="0" w:name="_GoBack"/>
      <w:bookmarkEnd w:id="0"/>
      <w:r>
        <w:rPr>
          <w:b/>
          <w:noProof/>
        </w:rPr>
        <mc:AlternateContent>
          <mc:Choice Requires="wps">
            <w:drawing>
              <wp:anchor distT="0" distB="0" distL="114300" distR="114300" simplePos="0" relativeHeight="251659264" behindDoc="0" locked="0" layoutInCell="1" allowOverlap="1">
                <wp:simplePos x="0" y="0"/>
                <wp:positionH relativeFrom="column">
                  <wp:posOffset>685165</wp:posOffset>
                </wp:positionH>
                <wp:positionV relativeFrom="paragraph">
                  <wp:posOffset>24130</wp:posOffset>
                </wp:positionV>
                <wp:extent cx="958850" cy="330200"/>
                <wp:effectExtent l="0" t="0" r="12700" b="12700"/>
                <wp:wrapNone/>
                <wp:docPr id="2" na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0" cy="330200"/>
                        </a:xfrm>
                        <a:prstGeom prst="rect">
                          <a:avLst/>
                        </a:prstGeom>
                        <a:solidFill>
                          <a:srgbClr val="FFFFFF"/>
                        </a:solidFill>
                        <a:ln w="9525">
                          <a:solidFill>
                            <a:srgbClr val="000000"/>
                          </a:solidFill>
                          <a:miter lim="800000"/>
                          <a:headEnd/>
                          <a:tailEnd/>
                        </a:ln>
                      </wps:spPr>
                      <wps:txbx>
                        <w:txbxContent>
                          <w:p w:rsidR="008147C8" w:rsidRPr="008147C8" w:rsidRDefault="008147C8">
                            <w:pPr>
                              <w:rPr>
                                <w:i/>
                              </w:rPr>
                            </w:pPr>
                            <w:r w:rsidRPr="008147C8">
                              <w:rPr>
                                <w:i/>
                              </w:rPr>
                              <w:t xml:space="preserve">Dự thảo </w:t>
                            </w:r>
                            <w:r w:rsidR="008665DA">
                              <w:rPr>
                                <w: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4" o:spid="_x0000_s1026" style="position:absolute;left:0;text-align:left;margin-left:53.95pt;margin-top:1.9pt;width:75.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XPgFQQAgAANAQAAA4AAABkcnMvZTJvRG9jLnhtbKxT247TMBB9R+IfLL/TpNkWulHTFdql&#13;&#10;CGlZVlr4gKnjNBa+MXabLF/PxGm3LfCEyIPlyRkfnzkzXt70RrO9xKCcrfh0knMmrXC1stuKf/u6&#13;&#10;frPgLESwNWhnZcWfZeA3q9evlp0vZeFap2uJjEhsKDtf8TZGX2ZZEK00ECbOS0tg49BApBC3WY3Q&#13;&#10;EbvRWZHnb7POYe3RCRkC/b0bQb5K/E0jRfzSNEFGpitO2mJaMa2btGarJZRbBN8qcdAB/yDDgLJ0&#13;&#10;6wvVHURgO1R/UBkl0AXXxIlwJnNNo4RMRVA50/y3cp5a8DIVQ+4E/+JT+H+04mH/iEzVFS84s2Co&#13;&#10;R6yYcUa+dD6UBD/5RxwqC/7eie9hQLILaAgCJbFN99nVRAC76JIZfYNmOEplsj7Z/XwyXfaRCfp7&#13;&#10;PV8s5tQbQdjVVU5dTbdnUB6Pewzxo3SGDZuKI3U10cP+PsSkB8pjTlLqtKrXSusU4HZzq5HtgUZg&#13;&#10;nb4jfzjP05Z1g5hinrgvsHDOkafvrxxGRZpmrUzFF6csKFsJ9QdbD1KhjKD0IaAatT3YOTg4eh77&#13;&#10;TX/0f+PqZ3IW3Ti59NJo0zr8yVlHQ1vx8GMHKDnTnyxNxfV0NhvGPAWz+buCAjxHNucIWEFUFY+c&#13;&#10;jdvbOD6NnUe1bemmafLCuvfU0UaNXg/tHmUdlNNk0u5i9M/jlHV67KtfAAAA//8DAFBLAwQUAAYA&#13;&#10;CAAAACEAAgHo1uIAAAAOAQAADwAAAGRycy9kb3ducmV2LnhtbExP20rDQBB9F/yHZQRfit3YEtum&#13;&#10;2RRRpCCItZf3bXZMQrOzMbu5+PeOT/oycObMnEu6GW0temx95UjB/TQCgZQ7U1Gh4Hh4uVuC8EGT&#13;&#10;0bUjVPCNHjbZ9VWqE+MG+sB+HwrBIuQTraAMoUmk9HmJVvupa5CY+3St1YFhW0jT6oHFbS1nUfQg&#13;&#10;ra6IHUrd4FOJ+WXfWQWT4/bQLS677Vv7NT+9vjdD3E92St3ejM9rHo9rEAHH8PcBvx04P2Qc7Ow6&#13;&#10;Ml7UjKPFik8VzLkG87N4yfisII55IbNU/q+R/QAAAP//AwBQSwECLQAUAAYACAAAACEAWiKTo/8A&#13;&#10;AADlAQAAEwAAAAAAAAAAAAAAAAAAAAAAW0NvbnRlbnRfVHlwZXNdLnhtbFBLAQItABQABgAIAAAA&#13;&#10;IQCnSs841wAAAJYBAAALAAAAAAAAAAAAAAAAADABAABfcmVscy8ucmVsc1BLAQItABQABgAIAAAA&#13;&#10;IQAlz4BUEAIAADQEAAAOAAAAAAAAAAAAAAAAADACAABkcnMvZTJvRG9jLnhtbFBLAQItABQABgAI&#13;&#10;AAAAIQACAejW4gAAAA4BAAAPAAAAAAAAAAAAAAAAAGwEAABkcnMvZG93bnJldi54bWxQSwUGAAAA&#13;&#10;AAQABADzAAAAewUAAAAA&#13;&#10;">
                <v:path arrowok="t"/>
                <v:textbox>
                  <w:txbxContent>
                    <w:p w:rsidR="008147C8" w:rsidRPr="008147C8" w:rsidRDefault="008147C8">
                      <w:pPr>
                        <w:rPr>
                          <w:i/>
                        </w:rPr>
                      </w:pPr>
                      <w:r w:rsidRPr="008147C8">
                        <w:rPr>
                          <w:i/>
                        </w:rPr>
                        <w:t xml:space="preserve">Dự thảo </w:t>
                      </w:r>
                      <w:r w:rsidR="008665DA">
                        <w:rPr>
                          <w:i/>
                        </w:rPr>
                        <w:t>2</w:t>
                      </w:r>
                    </w:p>
                  </w:txbxContent>
                </v:textbox>
              </v:rect>
            </w:pict>
          </mc:Fallback>
        </mc:AlternateContent>
      </w:r>
    </w:p>
    <w:p w:rsidR="008147C8" w:rsidRPr="008147C8" w:rsidRDefault="008147C8">
      <w:pPr>
        <w:jc w:val="center"/>
        <w:rPr>
          <w:b/>
        </w:rPr>
      </w:pPr>
    </w:p>
    <w:p w:rsidR="00ED1D01" w:rsidRPr="00E74C1C" w:rsidRDefault="00ED1D01">
      <w:pPr>
        <w:jc w:val="center"/>
        <w:rPr>
          <w:b/>
        </w:rPr>
      </w:pPr>
      <w:r w:rsidRPr="00E74C1C">
        <w:rPr>
          <w:b/>
        </w:rPr>
        <w:t>THÔNG TƯ</w:t>
      </w:r>
    </w:p>
    <w:p w:rsidR="004723FE" w:rsidRDefault="007D6B68" w:rsidP="008F4915">
      <w:pPr>
        <w:jc w:val="center"/>
        <w:rPr>
          <w:b/>
        </w:rPr>
      </w:pPr>
      <w:r>
        <w:rPr>
          <w:b/>
        </w:rPr>
        <w:t>Q</w:t>
      </w:r>
      <w:r w:rsidR="008F4915">
        <w:rPr>
          <w:b/>
        </w:rPr>
        <w:t xml:space="preserve">uy định </w:t>
      </w:r>
      <w:r>
        <w:rPr>
          <w:b/>
        </w:rPr>
        <w:t xml:space="preserve">về </w:t>
      </w:r>
      <w:r w:rsidR="004723FE">
        <w:rPr>
          <w:b/>
        </w:rPr>
        <w:t>giám định viên lĩnh vực kỹ thuật hình sự</w:t>
      </w:r>
      <w:r w:rsidR="008147C8">
        <w:rPr>
          <w:b/>
        </w:rPr>
        <w:t xml:space="preserve">; </w:t>
      </w:r>
      <w:r w:rsidR="004723FE">
        <w:rPr>
          <w:b/>
        </w:rPr>
        <w:t xml:space="preserve">tiêu chuẩn bổ nhiệm </w:t>
      </w:r>
      <w:r w:rsidR="008147C8">
        <w:rPr>
          <w:b/>
        </w:rPr>
        <w:t>chức danh</w:t>
      </w:r>
      <w:r w:rsidR="004723FE">
        <w:rPr>
          <w:b/>
        </w:rPr>
        <w:t xml:space="preserve"> </w:t>
      </w:r>
      <w:r w:rsidR="008147C8">
        <w:rPr>
          <w:b/>
        </w:rPr>
        <w:t>giám định viên, người giúp việc</w:t>
      </w:r>
      <w:r w:rsidR="004723FE">
        <w:rPr>
          <w:b/>
        </w:rPr>
        <w:t xml:space="preserve"> giám định viên lĩnh vực</w:t>
      </w:r>
    </w:p>
    <w:p w:rsidR="004723FE" w:rsidRDefault="008147C8" w:rsidP="008F4915">
      <w:pPr>
        <w:jc w:val="center"/>
        <w:rPr>
          <w:b/>
        </w:rPr>
      </w:pPr>
      <w:r>
        <w:rPr>
          <w:b/>
        </w:rPr>
        <w:t>kỹ thuật hình sự, pháp y trong Công an nhân dân</w:t>
      </w:r>
      <w:r w:rsidR="004723FE">
        <w:rPr>
          <w:b/>
        </w:rPr>
        <w:t>; công bố</w:t>
      </w:r>
      <w:r w:rsidR="00D0524A">
        <w:rPr>
          <w:b/>
        </w:rPr>
        <w:t xml:space="preserve"> tổ chức,</w:t>
      </w:r>
    </w:p>
    <w:p w:rsidR="008147C8" w:rsidRDefault="004723FE" w:rsidP="008F4915">
      <w:pPr>
        <w:jc w:val="center"/>
        <w:rPr>
          <w:b/>
        </w:rPr>
      </w:pPr>
      <w:r>
        <w:rPr>
          <w:b/>
        </w:rPr>
        <w:t>người giám định theo vụ việc trong Công an nhân dân</w:t>
      </w:r>
    </w:p>
    <w:p w:rsidR="00ED1D01" w:rsidRPr="008F4915" w:rsidRDefault="0060521C" w:rsidP="008F4915">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2078355</wp:posOffset>
                </wp:positionH>
                <wp:positionV relativeFrom="paragraph">
                  <wp:posOffset>39370</wp:posOffset>
                </wp:positionV>
                <wp:extent cx="1637665" cy="0"/>
                <wp:effectExtent l="0" t="0" r="0" b="0"/>
                <wp:wrapNone/>
                <wp:docPr id="1"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7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112A8" id="_x0000_t32" coordsize="21600,21600" o:spt="32" o:oned="t" path="m,l21600,21600e" filled="f">
                <v:path arrowok="t" fillok="f" o:connecttype="none"/>
                <o:lock v:ext="edit" shapetype="t"/>
              </v:shapetype>
              <v:shape id=" 23" o:spid="_x0000_s1026" type="#_x0000_t32" style="position:absolute;margin-left:163.65pt;margin-top:3.1pt;width:128.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8tCNe6AQAAagMAAA4AAABkcnMvZTJvRG9jLnhtbKxTTY/TMBC9I/EfLN9p2q5aIGq6hy7L&#13;&#10;ZYGVFn7A1HYSC8djjd2m/feM3Y+lcEPkMMr4+T3PvLFX94fBib2haNE3cjaZSmG8Qm1918gf3x/f&#13;&#10;fZAiJvAaHHrTyKOJ8n799s1qDLWZY49OGxIs4mM9hkb2KYW6qqLqzQBxgsF4BlukARKn1FWaYGT1&#13;&#10;wVXz6XRZjUg6ECoTI68+nEC5Lvpta1T61rbRJOEaybWlEqnEbYnVegV1RxB6q851wD+UMYD1fOpV&#13;&#10;6gESiB3Zv6QGqwgjtmmicKiwba0ypQluZzb9o52XHoIpzbA7MVx9iv9PVn3dP5OwmocnhYeBZyTm&#13;&#10;d1KwL2OINcMb/0y5M3XwL+EJ1c+YweoGzUkMLLQdv6BmDdglLH4cWhoymzsVh+L48dV3c0hC8eps&#13;&#10;efd+uVxIoa5gBfWFGiimzwYHkX8aGROB7fq0Qe95vkizchDsn2IqlUF9YeSDPT5a5zIAtfNibOTH&#13;&#10;xXxRKBGd1RnNWKRuu3Ek9pCvSvmKC1zIzT7Cndcnud6A/nRJElh3Tpji/Nmi7MrJyi3qIzt08Y7n&#13;&#10;yVtuLszveaG/PpH1LwAAAP//AwBQSwMEFAAGAAgAAAAhAJ9tcHrgAAAADQEAAA8AAABkcnMvZG93&#13;&#10;bnJldi54bWxMT01PwkAQvZvwHzZDwsXIlpIilm4JwXjwKJB4XbpjW+3ONt0trfx6x3jAy2Re3sz7&#13;&#10;yLajbcQFO187UrCYRyCQCmdqKhWcji8PaxA+aDK6cYQKvtHDNp/cZTo1bqA3vBxCKViEfKoVVCG0&#13;&#10;qZS+qNBqP3ctEnMfrrM6MOxKaTo9sLhtZBxFK2l1TexQ6Rb3FRZfh94qQN8ni2j3ZMvT63W4f4+v&#13;&#10;n0N7VGo2HZ83PHYbEAHHcPuA3w6cH3IOdnY9GS8aBcv4ccmnClYxCOaTdcLL+Q/LPJP/W+Q/AAAA&#13;&#10;//8DAFBLAQItABQABgAIAAAAIQBaIpOj/wAAAOUBAAATAAAAAAAAAAAAAAAAAAAAAABbQ29udGVu&#13;&#10;dF9UeXBlc10ueG1sUEsBAi0AFAAGAAgAAAAhAKdKzzjXAAAAlgEAAAsAAAAAAAAAAAAAAAAAMAEA&#13;&#10;AF9yZWxzLy5yZWxzUEsBAi0AFAAGAAgAAAAhAK8tCNe6AQAAagMAAA4AAAAAAAAAAAAAAAAAMAIA&#13;&#10;AGRycy9lMm9Eb2MueG1sUEsBAi0AFAAGAAgAAAAhAJ9tcHrgAAAADQEAAA8AAAAAAAAAAAAAAAAA&#13;&#10;FgQAAGRycy9kb3ducmV2LnhtbFBLBQYAAAAABAAEAPMAAAAjBQAAAAA=&#13;&#10;">
                <o:lock v:ext="edit" shapetype="f"/>
              </v:shape>
            </w:pict>
          </mc:Fallback>
        </mc:AlternateContent>
      </w:r>
    </w:p>
    <w:p w:rsidR="004723FE" w:rsidRPr="002C70ED" w:rsidRDefault="004723FE" w:rsidP="002C70ED">
      <w:pPr>
        <w:spacing w:before="120" w:line="259" w:lineRule="auto"/>
        <w:ind w:firstLine="567"/>
        <w:jc w:val="both"/>
        <w:rPr>
          <w:i/>
        </w:rPr>
      </w:pPr>
      <w:r w:rsidRPr="002C70ED">
        <w:rPr>
          <w:i/>
        </w:rPr>
        <w:t>Căn cứ Luật Giám định tư pháp ngày 20 tháng 6 năm 2012, Luật sửa đổi, bổ sung một số điều của Luật Giám định tư pháp ngày 10 tháng 6 năm 2020 (Luật Giám định tư pháp);</w:t>
      </w:r>
    </w:p>
    <w:p w:rsidR="00ED1D01" w:rsidRPr="002C70ED" w:rsidRDefault="00ED1D01" w:rsidP="002C70ED">
      <w:pPr>
        <w:spacing w:before="120" w:line="259" w:lineRule="auto"/>
        <w:ind w:firstLine="567"/>
        <w:jc w:val="both"/>
        <w:rPr>
          <w:i/>
        </w:rPr>
      </w:pPr>
      <w:r w:rsidRPr="002C70ED">
        <w:rPr>
          <w:i/>
        </w:rPr>
        <w:t xml:space="preserve">Căn cứ Nghị định số 85/2013/NĐ-CP ngày 29 tháng 7 năm 2013 của Chính phủ quy định chi tiết và biện pháp thi hành Luật </w:t>
      </w:r>
      <w:r w:rsidR="00E82936" w:rsidRPr="002C70ED">
        <w:rPr>
          <w:i/>
        </w:rPr>
        <w:t>G</w:t>
      </w:r>
      <w:r w:rsidR="004723FE" w:rsidRPr="002C70ED">
        <w:rPr>
          <w:i/>
        </w:rPr>
        <w:t>iám định tư pháp, Nghị định số 157/2020/NĐ-CP ngày 31 tháng 12 năm 2020 của Chính phủ sửa đổi, bổ sung một số điều Nghị định số 85/2013/NĐ-CP</w:t>
      </w:r>
      <w:r w:rsidR="005201D0" w:rsidRPr="002C70ED">
        <w:rPr>
          <w:i/>
        </w:rPr>
        <w:t xml:space="preserve"> (Nghị định quy định chi tiết và biện pháp thi hành Luật Giám định tư pháp)</w:t>
      </w:r>
      <w:r w:rsidR="004723FE" w:rsidRPr="002C70ED">
        <w:rPr>
          <w:i/>
        </w:rPr>
        <w:t>;</w:t>
      </w:r>
    </w:p>
    <w:p w:rsidR="00ED1D01" w:rsidRPr="002C70ED" w:rsidRDefault="008F4915" w:rsidP="002C70ED">
      <w:pPr>
        <w:spacing w:before="120" w:line="259" w:lineRule="auto"/>
        <w:ind w:firstLine="567"/>
        <w:jc w:val="both"/>
        <w:rPr>
          <w:i/>
        </w:rPr>
      </w:pPr>
      <w:r w:rsidRPr="002C70ED">
        <w:rPr>
          <w:i/>
        </w:rPr>
        <w:t>Căn cứ Nghị định số 01/2018/NĐ-CP ngày 06 tháng 8 năm 2018</w:t>
      </w:r>
      <w:r w:rsidR="00ED1D01" w:rsidRPr="002C70ED">
        <w:rPr>
          <w:i/>
        </w:rPr>
        <w:t xml:space="preserve"> của Chính phủ qu</w:t>
      </w:r>
      <w:r w:rsidRPr="002C70ED">
        <w:rPr>
          <w:i/>
        </w:rPr>
        <w:t>y định</w:t>
      </w:r>
      <w:r w:rsidR="00ED1D01" w:rsidRPr="002C70ED">
        <w:rPr>
          <w:i/>
        </w:rPr>
        <w:t xml:space="preserve"> chức năng, nhiệm vụ, quyền hạn và cơ cấu tổ chức bộ máy của Bộ Công an;</w:t>
      </w:r>
    </w:p>
    <w:p w:rsidR="00ED1D01" w:rsidRPr="002C70ED" w:rsidRDefault="00ED1D01" w:rsidP="002C70ED">
      <w:pPr>
        <w:spacing w:before="120" w:line="259" w:lineRule="auto"/>
        <w:ind w:firstLine="567"/>
        <w:jc w:val="both"/>
        <w:rPr>
          <w:i/>
        </w:rPr>
      </w:pPr>
      <w:r w:rsidRPr="002C70ED">
        <w:rPr>
          <w:i/>
        </w:rPr>
        <w:t xml:space="preserve">Theo đề nghị của </w:t>
      </w:r>
      <w:r w:rsidR="008F4915" w:rsidRPr="002C70ED">
        <w:rPr>
          <w:i/>
        </w:rPr>
        <w:t>Viện trưởng Viện Khoa học hình sự;</w:t>
      </w:r>
      <w:r w:rsidRPr="002C70ED">
        <w:rPr>
          <w:i/>
        </w:rPr>
        <w:t xml:space="preserve"> </w:t>
      </w:r>
    </w:p>
    <w:p w:rsidR="004723FE" w:rsidRPr="002C70ED" w:rsidRDefault="00ED1D01" w:rsidP="002C70ED">
      <w:pPr>
        <w:spacing w:before="120" w:line="259" w:lineRule="auto"/>
        <w:ind w:firstLine="567"/>
        <w:jc w:val="both"/>
        <w:rPr>
          <w:i/>
          <w:spacing w:val="-2"/>
        </w:rPr>
      </w:pPr>
      <w:r w:rsidRPr="002C70ED">
        <w:rPr>
          <w:i/>
          <w:spacing w:val="-2"/>
        </w:rPr>
        <w:t xml:space="preserve">Bộ trưởng Bộ Công an ban hành Thông tư </w:t>
      </w:r>
      <w:r w:rsidR="004723FE" w:rsidRPr="002C70ED">
        <w:rPr>
          <w:i/>
          <w:spacing w:val="-2"/>
        </w:rPr>
        <w:t>quy định về giám định viên lĩnh vực kỹ thuật hình sự; tiêu chuẩn bổ nhiệm chức danh giám định viên, người giúp việc cho giám định viên lĩnh vực kỹ thuật hình sự, pháp y trong Công an nhân dân; công bố</w:t>
      </w:r>
      <w:r w:rsidR="00D0524A" w:rsidRPr="002C70ED">
        <w:rPr>
          <w:i/>
          <w:spacing w:val="-2"/>
        </w:rPr>
        <w:t xml:space="preserve"> tổ chức,</w:t>
      </w:r>
      <w:r w:rsidR="004723FE" w:rsidRPr="002C70ED">
        <w:rPr>
          <w:i/>
          <w:spacing w:val="-2"/>
        </w:rPr>
        <w:t xml:space="preserve"> người giám định theo vụ việc trong Công an nhân dân.</w:t>
      </w:r>
    </w:p>
    <w:p w:rsidR="00ED1D01" w:rsidRPr="00334523" w:rsidRDefault="00ED1D01" w:rsidP="002C70ED">
      <w:pPr>
        <w:spacing w:before="120"/>
        <w:ind w:firstLine="567"/>
        <w:jc w:val="both"/>
      </w:pPr>
    </w:p>
    <w:p w:rsidR="000E27C8" w:rsidRDefault="000E27C8" w:rsidP="002C70ED">
      <w:pPr>
        <w:ind w:firstLine="567"/>
        <w:jc w:val="center"/>
        <w:rPr>
          <w:b/>
        </w:rPr>
      </w:pPr>
      <w:r>
        <w:rPr>
          <w:b/>
        </w:rPr>
        <w:t>Chương I</w:t>
      </w:r>
    </w:p>
    <w:p w:rsidR="000E27C8" w:rsidRDefault="000E27C8" w:rsidP="002C70ED">
      <w:pPr>
        <w:ind w:firstLine="567"/>
        <w:jc w:val="center"/>
        <w:rPr>
          <w:b/>
        </w:rPr>
      </w:pPr>
      <w:r>
        <w:rPr>
          <w:b/>
        </w:rPr>
        <w:t>QUY ĐỊNH CHUNG</w:t>
      </w:r>
    </w:p>
    <w:p w:rsidR="000E27C8" w:rsidRDefault="000E27C8" w:rsidP="002C70ED">
      <w:pPr>
        <w:spacing w:before="120"/>
        <w:ind w:firstLine="567"/>
        <w:jc w:val="both"/>
        <w:rPr>
          <w:b/>
        </w:rPr>
      </w:pPr>
    </w:p>
    <w:p w:rsidR="00334523" w:rsidRPr="00E74C1C" w:rsidRDefault="00334523" w:rsidP="002C70ED">
      <w:pPr>
        <w:spacing w:before="120" w:line="252" w:lineRule="auto"/>
        <w:ind w:firstLine="567"/>
        <w:jc w:val="both"/>
        <w:rPr>
          <w:b/>
        </w:rPr>
      </w:pPr>
      <w:r w:rsidRPr="00E74C1C">
        <w:rPr>
          <w:b/>
        </w:rPr>
        <w:t>Điều 1. Phạm vi điều chỉnh</w:t>
      </w:r>
    </w:p>
    <w:p w:rsidR="00334523" w:rsidRPr="00E74C1C" w:rsidRDefault="00334523" w:rsidP="002C70ED">
      <w:pPr>
        <w:spacing w:before="120" w:line="252" w:lineRule="auto"/>
        <w:ind w:firstLine="567"/>
        <w:jc w:val="both"/>
      </w:pPr>
      <w:r w:rsidRPr="00E74C1C">
        <w:t xml:space="preserve">Thông tư này </w:t>
      </w:r>
      <w:r>
        <w:t xml:space="preserve">quy định chi tiết tiêu chuẩn, </w:t>
      </w:r>
      <w:r w:rsidRPr="00E74C1C">
        <w:t>trình tự, thủ tục bổ nhiệm, miễn nhiệm</w:t>
      </w:r>
      <w:r>
        <w:t>, cấp thẻ, thu hồi thẻ</w:t>
      </w:r>
      <w:r w:rsidRPr="00E74C1C">
        <w:t xml:space="preserve"> giám định viên kỹ thuật hình sự</w:t>
      </w:r>
      <w:r>
        <w:t xml:space="preserve"> </w:t>
      </w:r>
      <w:r w:rsidRPr="00E74C1C">
        <w:t>và hồ sơ đề nghị bổ nhiệm</w:t>
      </w:r>
      <w:r>
        <w:t>, cấp thẻ</w:t>
      </w:r>
      <w:r w:rsidRPr="00E74C1C">
        <w:t xml:space="preserve"> giám định viên</w:t>
      </w:r>
      <w:r>
        <w:t xml:space="preserve"> tư pháp kỹ thuật hình sự; mẫu thẻ giám định viên kỹ thuật hình sự; tiêu chuẩn bổ nhiệm các chức danh giám định viên, người giúp việc giám định viên</w:t>
      </w:r>
      <w:r w:rsidRPr="00E74C1C">
        <w:t xml:space="preserve"> </w:t>
      </w:r>
      <w:r>
        <w:t xml:space="preserve">lĩnh vực kỹ thuật hình sự và pháp y trong Công an nhân dân; công bố </w:t>
      </w:r>
      <w:r w:rsidR="00D0524A">
        <w:t xml:space="preserve">tổ chức, </w:t>
      </w:r>
      <w:r>
        <w:t>người giám định theo vụ việc trong Công an nhân dân.</w:t>
      </w:r>
    </w:p>
    <w:p w:rsidR="00334523" w:rsidRPr="00E74C1C" w:rsidRDefault="00334523" w:rsidP="002C70ED">
      <w:pPr>
        <w:spacing w:before="120"/>
        <w:ind w:firstLine="567"/>
        <w:jc w:val="both"/>
        <w:rPr>
          <w:b/>
        </w:rPr>
      </w:pPr>
      <w:r w:rsidRPr="00E74C1C">
        <w:rPr>
          <w:b/>
        </w:rPr>
        <w:t>Điều 2. Đối tượng áp dụng</w:t>
      </w:r>
    </w:p>
    <w:p w:rsidR="00334523" w:rsidRDefault="00766D1D" w:rsidP="002C70ED">
      <w:pPr>
        <w:spacing w:before="120"/>
        <w:ind w:firstLine="567"/>
        <w:jc w:val="both"/>
      </w:pPr>
      <w:r>
        <w:lastRenderedPageBreak/>
        <w:t>1. C</w:t>
      </w:r>
      <w:r w:rsidR="00334523" w:rsidRPr="00E74C1C">
        <w:t xml:space="preserve">ơ quan, đơn vị, cá nhân thuộc Bộ Công an, Bộ Quốc phòng, </w:t>
      </w:r>
      <w:r w:rsidR="00334523">
        <w:t>Viện Kiểm sát nhân dân tối cao</w:t>
      </w:r>
      <w:r>
        <w:t xml:space="preserve"> </w:t>
      </w:r>
      <w:r w:rsidRPr="00E74C1C">
        <w:t>thực hiện việc bổ nhiệm, miễn nhiệm</w:t>
      </w:r>
      <w:r>
        <w:t>, cấp thẻ, thu hồi thẻ</w:t>
      </w:r>
      <w:r w:rsidRPr="00E74C1C">
        <w:t xml:space="preserve"> giám định viên</w:t>
      </w:r>
      <w:r w:rsidR="00334523" w:rsidRPr="00E74C1C">
        <w:t xml:space="preserve"> kỹ thuật hình sự, hoạt động giám định kỹ thuật hình sự và cơ quan, tổ chức, cá nhân có liên quan đến hoạt động giám định tư pháp.</w:t>
      </w:r>
    </w:p>
    <w:p w:rsidR="00334523" w:rsidRDefault="00766D1D" w:rsidP="002C70ED">
      <w:pPr>
        <w:spacing w:before="120"/>
        <w:ind w:firstLine="567"/>
        <w:jc w:val="both"/>
      </w:pPr>
      <w:r>
        <w:t>2. Cơ quan, đơn vị, cá nhân thuộc Bộ Công an thực hiện việc bổ nhiệm chức danh giám định viên, người giúp việc giám định viên</w:t>
      </w:r>
      <w:r w:rsidRPr="00E74C1C">
        <w:t xml:space="preserve"> </w:t>
      </w:r>
      <w:r>
        <w:t>lĩnh vực kỹ thuật hình sự và pháp y</w:t>
      </w:r>
      <w:r w:rsidR="00DE4F84">
        <w:t xml:space="preserve"> trong Công an nhân dân</w:t>
      </w:r>
      <w:r>
        <w:t xml:space="preserve">; công bố </w:t>
      </w:r>
      <w:r w:rsidR="00D0524A">
        <w:t xml:space="preserve">tổ chức, </w:t>
      </w:r>
      <w:r>
        <w:t>người giám định theo vụ việc</w:t>
      </w:r>
      <w:r w:rsidR="00DE4F84">
        <w:t xml:space="preserve"> trong Công an nhân dân</w:t>
      </w:r>
      <w:r>
        <w:t>.</w:t>
      </w:r>
    </w:p>
    <w:p w:rsidR="000E27C8" w:rsidRDefault="000E27C8" w:rsidP="000E27C8">
      <w:pPr>
        <w:ind w:firstLine="720"/>
        <w:jc w:val="both"/>
      </w:pPr>
    </w:p>
    <w:p w:rsidR="000E27C8" w:rsidRPr="000E27C8" w:rsidRDefault="000E27C8" w:rsidP="000E27C8">
      <w:pPr>
        <w:jc w:val="center"/>
        <w:rPr>
          <w:b/>
        </w:rPr>
      </w:pPr>
      <w:r w:rsidRPr="000E27C8">
        <w:rPr>
          <w:b/>
        </w:rPr>
        <w:t>Chương II</w:t>
      </w:r>
    </w:p>
    <w:p w:rsidR="000E27C8" w:rsidRPr="000E27C8" w:rsidRDefault="000E27C8" w:rsidP="000E27C8">
      <w:pPr>
        <w:jc w:val="center"/>
        <w:rPr>
          <w:b/>
        </w:rPr>
      </w:pPr>
      <w:r w:rsidRPr="000E27C8">
        <w:rPr>
          <w:b/>
        </w:rPr>
        <w:t>QUY ĐỊNH VỀ GIÁM ĐỊNH VIÊN LĨNH VỰC KỸ THUẬT HÌNH SỰ</w:t>
      </w:r>
    </w:p>
    <w:p w:rsidR="000E27C8" w:rsidRDefault="000E27C8" w:rsidP="000E27C8">
      <w:pPr>
        <w:ind w:firstLine="720"/>
        <w:jc w:val="both"/>
      </w:pPr>
    </w:p>
    <w:p w:rsidR="00766D1D" w:rsidRPr="008B480B" w:rsidRDefault="00766D1D" w:rsidP="002C70ED">
      <w:pPr>
        <w:spacing w:before="120"/>
        <w:ind w:firstLine="567"/>
        <w:jc w:val="both"/>
        <w:rPr>
          <w:b/>
        </w:rPr>
      </w:pPr>
      <w:r w:rsidRPr="008B480B">
        <w:rPr>
          <w:b/>
        </w:rPr>
        <w:t>Điều 3. Giám định viên kỹ thuật hình sự</w:t>
      </w:r>
    </w:p>
    <w:p w:rsidR="00766D1D" w:rsidRPr="008B480B" w:rsidRDefault="00766D1D" w:rsidP="002C70ED">
      <w:pPr>
        <w:spacing w:before="120"/>
        <w:ind w:firstLine="567"/>
        <w:jc w:val="both"/>
      </w:pPr>
      <w:r w:rsidRPr="008B480B">
        <w:t>Giám định viên kỹ thuật hình sự bao gồm:</w:t>
      </w:r>
    </w:p>
    <w:p w:rsidR="00766D1D" w:rsidRPr="008B480B" w:rsidRDefault="00766D1D" w:rsidP="002C70ED">
      <w:pPr>
        <w:spacing w:before="120"/>
        <w:ind w:firstLine="567"/>
        <w:jc w:val="both"/>
      </w:pPr>
      <w:r w:rsidRPr="008B480B">
        <w:t>1. Giám định viên dấu vết đường vân;</w:t>
      </w:r>
    </w:p>
    <w:p w:rsidR="00766D1D" w:rsidRPr="008B480B" w:rsidRDefault="00766D1D" w:rsidP="002C70ED">
      <w:pPr>
        <w:spacing w:before="120"/>
        <w:ind w:firstLine="567"/>
        <w:jc w:val="both"/>
      </w:pPr>
      <w:r w:rsidRPr="008B480B">
        <w:t>2. Giám định viên dấu vết cơ học;</w:t>
      </w:r>
    </w:p>
    <w:p w:rsidR="00766D1D" w:rsidRPr="008B480B" w:rsidRDefault="00766D1D" w:rsidP="002C70ED">
      <w:pPr>
        <w:spacing w:before="120"/>
        <w:ind w:firstLine="567"/>
        <w:jc w:val="both"/>
      </w:pPr>
      <w:r w:rsidRPr="008B480B">
        <w:t>3. Giám định viên súng, đạn;</w:t>
      </w:r>
    </w:p>
    <w:p w:rsidR="00766D1D" w:rsidRPr="008B480B" w:rsidRDefault="00766D1D" w:rsidP="002C70ED">
      <w:pPr>
        <w:spacing w:before="120"/>
        <w:ind w:firstLine="567"/>
        <w:jc w:val="both"/>
      </w:pPr>
      <w:r w:rsidRPr="008B480B">
        <w:t>4. Giám định viên tài liệu;</w:t>
      </w:r>
    </w:p>
    <w:p w:rsidR="00766D1D" w:rsidRPr="008B480B" w:rsidRDefault="00766D1D" w:rsidP="002C70ED">
      <w:pPr>
        <w:spacing w:before="120"/>
        <w:ind w:firstLine="567"/>
        <w:jc w:val="both"/>
      </w:pPr>
      <w:r w:rsidRPr="008B480B">
        <w:t>5. Giám định viên cháy, nổ;</w:t>
      </w:r>
    </w:p>
    <w:p w:rsidR="00766D1D" w:rsidRPr="008B480B" w:rsidRDefault="00766D1D" w:rsidP="002C70ED">
      <w:pPr>
        <w:spacing w:before="120"/>
        <w:ind w:firstLine="567"/>
        <w:jc w:val="both"/>
        <w:rPr>
          <w:b/>
          <w:i/>
        </w:rPr>
      </w:pPr>
      <w:r w:rsidRPr="008B480B">
        <w:t>6. Giám định viên kỹ thuật;</w:t>
      </w:r>
    </w:p>
    <w:p w:rsidR="00766D1D" w:rsidRPr="008B480B" w:rsidRDefault="00766D1D" w:rsidP="002C70ED">
      <w:pPr>
        <w:spacing w:before="120"/>
        <w:ind w:firstLine="567"/>
        <w:jc w:val="both"/>
      </w:pPr>
      <w:r w:rsidRPr="008B480B">
        <w:t>7. Giám định viên âm thanh;</w:t>
      </w:r>
    </w:p>
    <w:p w:rsidR="00766D1D" w:rsidRPr="008B480B" w:rsidRDefault="00766D1D" w:rsidP="002C70ED">
      <w:pPr>
        <w:spacing w:before="120"/>
        <w:ind w:firstLine="567"/>
        <w:jc w:val="both"/>
      </w:pPr>
      <w:r w:rsidRPr="008B480B">
        <w:t>8. Giám định viên sinh học;</w:t>
      </w:r>
    </w:p>
    <w:p w:rsidR="00766D1D" w:rsidRPr="008B480B" w:rsidRDefault="00766D1D" w:rsidP="002C70ED">
      <w:pPr>
        <w:spacing w:before="120"/>
        <w:ind w:firstLine="567"/>
        <w:jc w:val="both"/>
      </w:pPr>
      <w:r w:rsidRPr="008B480B">
        <w:t>9. Giám định</w:t>
      </w:r>
      <w:r w:rsidRPr="008B480B">
        <w:rPr>
          <w:b/>
          <w:i/>
        </w:rPr>
        <w:t xml:space="preserve"> </w:t>
      </w:r>
      <w:r w:rsidRPr="008B480B">
        <w:t>viên hoá học;</w:t>
      </w:r>
    </w:p>
    <w:p w:rsidR="00766D1D" w:rsidRPr="008B480B" w:rsidRDefault="00766D1D" w:rsidP="002C70ED">
      <w:pPr>
        <w:spacing w:before="120"/>
        <w:ind w:firstLine="567"/>
        <w:jc w:val="both"/>
      </w:pPr>
      <w:r w:rsidRPr="008B480B">
        <w:t>10. Giám định viên kỹ thuật số và điện tử.</w:t>
      </w:r>
    </w:p>
    <w:p w:rsidR="00287581" w:rsidRPr="008B480B" w:rsidRDefault="00287581" w:rsidP="002C70ED">
      <w:pPr>
        <w:spacing w:before="120"/>
        <w:ind w:firstLine="567"/>
        <w:jc w:val="both"/>
      </w:pPr>
      <w:r w:rsidRPr="008B480B">
        <w:rPr>
          <w:b/>
        </w:rPr>
        <w:t>Điều 4. Tiêu chuẩn giám định viên kỹ thuật hình sự</w:t>
      </w:r>
    </w:p>
    <w:p w:rsidR="00287581" w:rsidRPr="008B480B" w:rsidRDefault="00287581" w:rsidP="002C70ED">
      <w:pPr>
        <w:spacing w:before="120"/>
        <w:ind w:firstLine="567"/>
        <w:jc w:val="both"/>
      </w:pPr>
      <w:r w:rsidRPr="008B480B">
        <w:t>Tiêu chuẩn giám định viên kỹ thuật hình sự theo khoản 1 Điều 7 Luật giám định tư pháp được quy định cụ thể như sau:</w:t>
      </w:r>
    </w:p>
    <w:p w:rsidR="00287581" w:rsidRPr="008B480B" w:rsidRDefault="00287581" w:rsidP="002C70ED">
      <w:pPr>
        <w:spacing w:before="120"/>
        <w:ind w:firstLine="567"/>
        <w:jc w:val="both"/>
      </w:pPr>
      <w:r w:rsidRPr="008B480B">
        <w:t>1. Là sĩ quan nghiệp vụ Công an, sĩ quan Quân đội nhân dân tại ngũ</w:t>
      </w:r>
      <w:r w:rsidR="005941D6">
        <w:t>, công chức thuộc Viện kiểm sát tối cao</w:t>
      </w:r>
      <w:r w:rsidRPr="008B480B">
        <w:t>;</w:t>
      </w:r>
    </w:p>
    <w:p w:rsidR="00287581" w:rsidRPr="008B480B" w:rsidRDefault="00287581" w:rsidP="002C70ED">
      <w:pPr>
        <w:spacing w:before="120"/>
        <w:ind w:firstLine="567"/>
        <w:jc w:val="both"/>
      </w:pPr>
      <w:r w:rsidRPr="008B480B">
        <w:t>2. Có sức khỏe, phẩm chất đạo đức tốt;</w:t>
      </w:r>
    </w:p>
    <w:p w:rsidR="00287581" w:rsidRPr="008B480B" w:rsidRDefault="00287581" w:rsidP="002C70ED">
      <w:pPr>
        <w:spacing w:before="120"/>
        <w:ind w:firstLine="567"/>
        <w:jc w:val="both"/>
      </w:pPr>
      <w:r w:rsidRPr="008B480B">
        <w:t>3. Có trình độ đại học trở lên được công nhận tại Việt Nam theo quy định của pháp luật về giáo dục và điều ước quốc tế mà nước Cộng hòa xã hội chủ nghĩa Việt Nam ký kết hoặc gia nhập và đã trực tiếp giúp việc trong hoạt động giám định ở lĩnh vực chuyên ngành được đào tạo từ đủ 03 năm trở lên</w:t>
      </w:r>
      <w:r w:rsidR="000A0372">
        <w:t xml:space="preserve"> (không tính thời gian tham gia học các loại hì</w:t>
      </w:r>
      <w:r w:rsidR="00B44D37">
        <w:t>nh đào tạo trong giờ hành chính</w:t>
      </w:r>
      <w:r w:rsidR="000A0372">
        <w:t>) sau khi tốt nghiệp đại học thuộc chuyên ngành đề nghị bổ nhiệm giám định viên</w:t>
      </w:r>
      <w:r w:rsidRPr="008B480B">
        <w:t xml:space="preserve">. Cụ thể: </w:t>
      </w:r>
    </w:p>
    <w:p w:rsidR="002C70ED" w:rsidRDefault="00287581" w:rsidP="002C70ED">
      <w:pPr>
        <w:spacing w:before="120"/>
        <w:ind w:firstLine="567"/>
        <w:jc w:val="both"/>
      </w:pPr>
      <w:r w:rsidRPr="008B480B">
        <w:t>a) Giám định viên dấu vết đường vân: có trình độ đại học trở lên thuộc một trong các nhóm ngành an ninh và</w:t>
      </w:r>
      <w:r w:rsidR="00DE4F84">
        <w:t xml:space="preserve"> trật tự xã hội; nhóm ngành luật;</w:t>
      </w:r>
      <w:r w:rsidRPr="008B480B">
        <w:t xml:space="preserve"> </w:t>
      </w:r>
      <w:bookmarkStart w:id="1" w:name="OLE_LINK1"/>
      <w:bookmarkStart w:id="2" w:name="OLE_LINK2"/>
      <w:r w:rsidR="002C70ED">
        <w:t>lĩnh vực</w:t>
      </w:r>
      <w:r w:rsidRPr="008B480B">
        <w:t xml:space="preserve"> máy </w:t>
      </w:r>
      <w:r w:rsidRPr="008B480B">
        <w:lastRenderedPageBreak/>
        <w:t>tính và công nghệ thông tin</w:t>
      </w:r>
      <w:bookmarkEnd w:id="1"/>
      <w:bookmarkEnd w:id="2"/>
      <w:r w:rsidR="00DE4F84">
        <w:t>; ngành hóa học;</w:t>
      </w:r>
      <w:r w:rsidRPr="008B480B">
        <w:t xml:space="preserve"> ngành kỹ thuật hóa học</w:t>
      </w:r>
      <w:r w:rsidR="00DE4F84">
        <w:t>;</w:t>
      </w:r>
      <w:r w:rsidRPr="008B480B">
        <w:t xml:space="preserve"> ngành công nghệ kỹ thuật hóa học</w:t>
      </w:r>
      <w:r w:rsidR="00DE4F84">
        <w:t>;</w:t>
      </w:r>
      <w:r w:rsidRPr="008B480B">
        <w:t xml:space="preserve"> ngành sư phạm hóa học</w:t>
      </w:r>
      <w:r w:rsidR="00DE4F84">
        <w:t>;</w:t>
      </w:r>
      <w:r w:rsidRPr="008B480B">
        <w:t xml:space="preserve"> ngành chỉ huy kỹ thuật hóa học</w:t>
      </w:r>
      <w:r w:rsidR="00DE4F84">
        <w:t>;</w:t>
      </w:r>
      <w:r w:rsidRPr="008B480B">
        <w:t xml:space="preserve"> </w:t>
      </w:r>
      <w:r w:rsidR="002C70ED">
        <w:t>ngành chỉ huy</w:t>
      </w:r>
      <w:r w:rsidR="00BA4CDD">
        <w:t>,</w:t>
      </w:r>
      <w:r w:rsidR="002C70ED">
        <w:t xml:space="preserve"> quản lý kỹ thuật.</w:t>
      </w:r>
    </w:p>
    <w:p w:rsidR="00287581" w:rsidRPr="008B480B" w:rsidRDefault="00287581" w:rsidP="002C70ED">
      <w:pPr>
        <w:spacing w:before="120"/>
        <w:ind w:firstLine="567"/>
        <w:jc w:val="both"/>
      </w:pPr>
      <w:r w:rsidRPr="008B480B">
        <w:t>b) Giám định viên dấu vết cơ học: có trình độ đại học trở lên thuộc một trong các nhóm ngành an ninh và trật tự xã hội</w:t>
      </w:r>
      <w:r w:rsidR="00DE4F84">
        <w:t>;</w:t>
      </w:r>
      <w:r w:rsidRPr="008B480B">
        <w:t xml:space="preserve"> nhóm ngành luật</w:t>
      </w:r>
      <w:r w:rsidR="00DE4F84">
        <w:t>;</w:t>
      </w:r>
      <w:r w:rsidRPr="008B480B">
        <w:t xml:space="preserve"> </w:t>
      </w:r>
      <w:r w:rsidR="00784A4B">
        <w:t xml:space="preserve">ngành kỹ thuật cơ khí; </w:t>
      </w:r>
      <w:r w:rsidRPr="008B480B">
        <w:t>nhóm ngành công nghệ kỹ thuật cơ khí</w:t>
      </w:r>
      <w:r w:rsidR="00DE4F84">
        <w:t>;</w:t>
      </w:r>
      <w:r w:rsidRPr="008B480B">
        <w:t xml:space="preserve"> nhóm ngành kỹ thuật cơ khí và cơ kỹ thuật</w:t>
      </w:r>
      <w:r w:rsidR="00DE4F84">
        <w:t>;</w:t>
      </w:r>
      <w:r w:rsidRPr="008B480B">
        <w:t xml:space="preserve"> </w:t>
      </w:r>
      <w:r w:rsidR="002C70ED">
        <w:t>lĩnh vực</w:t>
      </w:r>
      <w:r w:rsidRPr="008B480B">
        <w:t xml:space="preserve"> máy tính và công nghệ thông tin</w:t>
      </w:r>
      <w:r w:rsidR="00DE4F84">
        <w:t>;</w:t>
      </w:r>
      <w:r w:rsidRPr="008B480B">
        <w:t xml:space="preserve"> ngành chỉ huy</w:t>
      </w:r>
      <w:r w:rsidR="00BA4CDD">
        <w:t>,</w:t>
      </w:r>
      <w:r w:rsidRPr="008B480B">
        <w:t xml:space="preserve"> </w:t>
      </w:r>
      <w:r w:rsidR="002C70ED">
        <w:t>quản lý kỹ thuật</w:t>
      </w:r>
      <w:r w:rsidRPr="008B480B">
        <w:t>.</w:t>
      </w:r>
    </w:p>
    <w:p w:rsidR="00287581" w:rsidRPr="008B480B" w:rsidRDefault="00287581" w:rsidP="002C70ED">
      <w:pPr>
        <w:spacing w:before="120"/>
        <w:ind w:firstLine="567"/>
        <w:jc w:val="both"/>
      </w:pPr>
      <w:r w:rsidRPr="008B480B">
        <w:t xml:space="preserve">c) Giám định viên súng, đạn: có trình độ đại học trở lên thuộc một trong các nhóm </w:t>
      </w:r>
      <w:r w:rsidR="00DE4F84">
        <w:t>ngành an ninh và trật tự xã hội;</w:t>
      </w:r>
      <w:r w:rsidRPr="008B480B">
        <w:t xml:space="preserve"> nhóm ngành luật</w:t>
      </w:r>
      <w:r w:rsidR="00DE4F84">
        <w:t>;</w:t>
      </w:r>
      <w:r w:rsidRPr="008B480B">
        <w:t xml:space="preserve"> </w:t>
      </w:r>
      <w:r w:rsidR="002C70ED">
        <w:t>lĩnh vực</w:t>
      </w:r>
      <w:r w:rsidRPr="008B480B">
        <w:t xml:space="preserve"> máy tính và công nghệ thông tin</w:t>
      </w:r>
      <w:r w:rsidR="00DE4F84">
        <w:t>;</w:t>
      </w:r>
      <w:r w:rsidRPr="008B480B">
        <w:t xml:space="preserve"> ngành kỹ thuật cơ khí</w:t>
      </w:r>
      <w:r w:rsidR="00DE4F84">
        <w:t>;</w:t>
      </w:r>
      <w:r w:rsidRPr="008B480B">
        <w:t xml:space="preserve"> ngành công nghệ kỹ thuật cơ khí</w:t>
      </w:r>
      <w:r w:rsidR="00DE4F84">
        <w:t>;</w:t>
      </w:r>
      <w:r w:rsidRPr="008B480B">
        <w:t xml:space="preserve"> </w:t>
      </w:r>
      <w:r w:rsidR="002C70ED">
        <w:t>nhóm ngành công nghệ kỹ thuật cơ khí</w:t>
      </w:r>
      <w:r w:rsidR="00DE4F84">
        <w:t>;</w:t>
      </w:r>
      <w:r w:rsidR="002C70ED">
        <w:t xml:space="preserve"> </w:t>
      </w:r>
      <w:r w:rsidRPr="008B480B">
        <w:t>ngành chỉ huy</w:t>
      </w:r>
      <w:r w:rsidR="002C70ED">
        <w:t xml:space="preserve"> quản lý kỹ thuật</w:t>
      </w:r>
      <w:r w:rsidR="00DE4F84">
        <w:t>;</w:t>
      </w:r>
      <w:r w:rsidR="002C70ED">
        <w:t xml:space="preserve"> chỉ huy kỹ thuật công binh</w:t>
      </w:r>
      <w:r w:rsidRPr="008B480B">
        <w:t>.</w:t>
      </w:r>
    </w:p>
    <w:p w:rsidR="00287581" w:rsidRPr="008B480B" w:rsidRDefault="00287581" w:rsidP="002C70ED">
      <w:pPr>
        <w:spacing w:before="120"/>
        <w:ind w:firstLine="567"/>
        <w:jc w:val="both"/>
      </w:pPr>
      <w:r w:rsidRPr="008B480B">
        <w:rPr>
          <w:lang w:val="en-GB"/>
        </w:rPr>
        <w:t xml:space="preserve">d) Giám định viên tài liệu: </w:t>
      </w:r>
      <w:r w:rsidRPr="008B480B">
        <w:t>có trình độ đại học trở lên thuộc một trong các nhóm ngành an ninh và trật tự xã hội</w:t>
      </w:r>
      <w:r w:rsidR="00DE4F84">
        <w:t>;</w:t>
      </w:r>
      <w:r w:rsidRPr="008B480B">
        <w:t xml:space="preserve"> nhóm ngành luật</w:t>
      </w:r>
      <w:r w:rsidR="00DE4F84">
        <w:t>;</w:t>
      </w:r>
      <w:r w:rsidRPr="008B480B">
        <w:t xml:space="preserve"> nhóm ngành ngôn ngữ</w:t>
      </w:r>
      <w:r w:rsidR="003A16ED">
        <w:t>, văn học</w:t>
      </w:r>
      <w:r w:rsidRPr="008B480B">
        <w:t xml:space="preserve"> và văn hóa Việt Nam</w:t>
      </w:r>
      <w:r w:rsidR="00DE4F84">
        <w:t>;</w:t>
      </w:r>
      <w:r w:rsidRPr="008B480B">
        <w:t xml:space="preserve"> nhóm ngành ngôn n</w:t>
      </w:r>
      <w:r w:rsidRPr="008B480B">
        <w:rPr>
          <w:lang w:val="en-GB"/>
        </w:rPr>
        <w:t>gữ</w:t>
      </w:r>
      <w:r w:rsidR="003A16ED">
        <w:rPr>
          <w:lang w:val="en-GB"/>
        </w:rPr>
        <w:t>, văn học</w:t>
      </w:r>
      <w:r w:rsidRPr="008B480B">
        <w:rPr>
          <w:lang w:val="en-GB"/>
        </w:rPr>
        <w:t xml:space="preserve"> và văn hóa nước ngoài</w:t>
      </w:r>
      <w:r w:rsidR="00DE4F84">
        <w:rPr>
          <w:lang w:val="en-GB"/>
        </w:rPr>
        <w:t>;</w:t>
      </w:r>
      <w:r w:rsidRPr="008B480B">
        <w:rPr>
          <w:lang w:val="en-GB"/>
        </w:rPr>
        <w:t xml:space="preserve"> </w:t>
      </w:r>
      <w:r w:rsidR="003A16ED">
        <w:rPr>
          <w:lang w:val="en-GB"/>
        </w:rPr>
        <w:t>lĩnh vực</w:t>
      </w:r>
      <w:r w:rsidRPr="008B480B">
        <w:rPr>
          <w:lang w:val="en-GB"/>
        </w:rPr>
        <w:t xml:space="preserve"> </w:t>
      </w:r>
      <w:r w:rsidRPr="008B480B">
        <w:t>máy tính và công nghệ thông tin</w:t>
      </w:r>
      <w:r w:rsidR="00DE4F84">
        <w:t>;</w:t>
      </w:r>
      <w:r w:rsidRPr="008B480B">
        <w:rPr>
          <w:lang w:val="en-GB"/>
        </w:rPr>
        <w:t xml:space="preserve"> nhóm ngành </w:t>
      </w:r>
      <w:r w:rsidRPr="008B480B">
        <w:t>mỹ thuật</w:t>
      </w:r>
      <w:r w:rsidR="00DE4F84">
        <w:t>;</w:t>
      </w:r>
      <w:r w:rsidRPr="008B480B">
        <w:t xml:space="preserve"> nhóm ngành mỹ thuật ứng dụng</w:t>
      </w:r>
      <w:r w:rsidR="00DE4F84">
        <w:t>;</w:t>
      </w:r>
      <w:r w:rsidRPr="008B480B">
        <w:t xml:space="preserve"> ngành hóa học</w:t>
      </w:r>
      <w:r w:rsidR="00DE4F84">
        <w:t>;</w:t>
      </w:r>
      <w:r w:rsidRPr="008B480B">
        <w:t xml:space="preserve"> ngành công nghệ kỹ thuật hóa học</w:t>
      </w:r>
      <w:r w:rsidR="00DE4F84">
        <w:t>;</w:t>
      </w:r>
      <w:r w:rsidRPr="008B480B">
        <w:t xml:space="preserve"> ngành sư phạm hóa học</w:t>
      </w:r>
      <w:r w:rsidR="00DE4F84">
        <w:t>;</w:t>
      </w:r>
      <w:r w:rsidRPr="008B480B">
        <w:t xml:space="preserve"> ngành chỉ huy kỹ thuật hóa học</w:t>
      </w:r>
      <w:r w:rsidR="00DE4F84">
        <w:t>;</w:t>
      </w:r>
      <w:r w:rsidRPr="008B480B">
        <w:t xml:space="preserve"> ngành </w:t>
      </w:r>
      <w:r w:rsidR="00B951D8">
        <w:t>kỹ thuật in</w:t>
      </w:r>
      <w:r w:rsidR="00DE4F84">
        <w:t>;</w:t>
      </w:r>
      <w:r w:rsidRPr="008B480B">
        <w:t xml:space="preserve"> ngành chỉ huy</w:t>
      </w:r>
      <w:r w:rsidR="00BA4CDD">
        <w:t>, quản lý kỹ thuật</w:t>
      </w:r>
      <w:r w:rsidRPr="008B480B">
        <w:t>.</w:t>
      </w:r>
    </w:p>
    <w:p w:rsidR="00287581" w:rsidRPr="008B480B" w:rsidRDefault="00287581" w:rsidP="002C70ED">
      <w:pPr>
        <w:spacing w:before="120"/>
        <w:ind w:firstLine="567"/>
        <w:jc w:val="both"/>
        <w:rPr>
          <w:lang w:val="en-GB"/>
        </w:rPr>
      </w:pPr>
      <w:r w:rsidRPr="008B480B">
        <w:rPr>
          <w:lang w:val="en-GB"/>
        </w:rPr>
        <w:t xml:space="preserve">đ) Giám định viên cháy, nổ: </w:t>
      </w:r>
      <w:r w:rsidRPr="008B480B">
        <w:t xml:space="preserve">có trình độ đại học trở lên thuộc một trong các nhóm ngành </w:t>
      </w:r>
      <w:r w:rsidRPr="008B480B">
        <w:rPr>
          <w:lang w:val="en-GB"/>
        </w:rPr>
        <w:t>công nghệ kỹ thuật điện, điện tử và viễn thông; nhóm ngành kỹ thuật điện, điện tử và viễn thông; ngành hóa học</w:t>
      </w:r>
      <w:r w:rsidR="00784A4B">
        <w:rPr>
          <w:lang w:val="en-GB"/>
        </w:rPr>
        <w:t>; ngành công nghệ kỹ thuật hóa học; sư phạm hóa học</w:t>
      </w:r>
      <w:r w:rsidRPr="008B480B">
        <w:rPr>
          <w:lang w:val="en-GB"/>
        </w:rPr>
        <w:t xml:space="preserve">; ngành phòng cháy chữa cháy và cứu </w:t>
      </w:r>
      <w:r w:rsidR="003A16ED">
        <w:rPr>
          <w:lang w:val="en-GB"/>
        </w:rPr>
        <w:t>nạn</w:t>
      </w:r>
      <w:r w:rsidRPr="008B480B">
        <w:rPr>
          <w:lang w:val="en-GB"/>
        </w:rPr>
        <w:t xml:space="preserve"> cứu </w:t>
      </w:r>
      <w:r w:rsidR="003A16ED">
        <w:rPr>
          <w:lang w:val="en-GB"/>
        </w:rPr>
        <w:t>hộ</w:t>
      </w:r>
      <w:r w:rsidR="00DE4F84">
        <w:rPr>
          <w:lang w:val="en-GB"/>
        </w:rPr>
        <w:t>;</w:t>
      </w:r>
      <w:r w:rsidRPr="008B480B">
        <w:rPr>
          <w:lang w:val="en-GB"/>
        </w:rPr>
        <w:t xml:space="preserve"> ngành chỉ huy</w:t>
      </w:r>
      <w:r w:rsidR="00BA4CDD">
        <w:rPr>
          <w:lang w:val="en-GB"/>
        </w:rPr>
        <w:t>,</w:t>
      </w:r>
      <w:r w:rsidR="003A16ED">
        <w:rPr>
          <w:lang w:val="en-GB"/>
        </w:rPr>
        <w:t xml:space="preserve"> quản lý</w:t>
      </w:r>
      <w:r w:rsidRPr="008B480B">
        <w:rPr>
          <w:lang w:val="en-GB"/>
        </w:rPr>
        <w:t xml:space="preserve"> kỹ thuật</w:t>
      </w:r>
      <w:r w:rsidR="00DE4F84">
        <w:rPr>
          <w:lang w:val="en-GB"/>
        </w:rPr>
        <w:t>;</w:t>
      </w:r>
      <w:r w:rsidRPr="008B480B">
        <w:rPr>
          <w:lang w:val="en-GB"/>
        </w:rPr>
        <w:t xml:space="preserve"> ngành chỉ huy kỹ thuật công binh</w:t>
      </w:r>
      <w:r w:rsidR="00DE4F84">
        <w:rPr>
          <w:lang w:val="en-GB"/>
        </w:rPr>
        <w:t>;</w:t>
      </w:r>
      <w:r w:rsidRPr="008B480B">
        <w:rPr>
          <w:lang w:val="en-GB"/>
        </w:rPr>
        <w:t xml:space="preserve"> ngành chỉ huy kỹ thuật hóa học.</w:t>
      </w:r>
    </w:p>
    <w:p w:rsidR="00287581" w:rsidRPr="008B480B" w:rsidRDefault="00287581" w:rsidP="002C70ED">
      <w:pPr>
        <w:spacing w:before="120"/>
        <w:ind w:firstLine="567"/>
        <w:jc w:val="both"/>
      </w:pPr>
      <w:r w:rsidRPr="008B480B">
        <w:t xml:space="preserve">e) Giám định viên kỹ thuật: có trình độ đại học trở lên thuộc một trong những nhóm ngành </w:t>
      </w:r>
      <w:r w:rsidRPr="008B480B">
        <w:rPr>
          <w:lang w:val="en-GB"/>
        </w:rPr>
        <w:t xml:space="preserve">công nghệ kỹ thuật điện, điện tử và viễn thông; nhóm ngành kỹ thuật điện, điện tử và viễn thông; </w:t>
      </w:r>
      <w:r w:rsidR="003A16ED">
        <w:rPr>
          <w:lang w:val="en-GB"/>
        </w:rPr>
        <w:t>lĩnh vực</w:t>
      </w:r>
      <w:r w:rsidRPr="008B480B">
        <w:rPr>
          <w:lang w:val="en-GB"/>
        </w:rPr>
        <w:t xml:space="preserve"> </w:t>
      </w:r>
      <w:r w:rsidRPr="008B480B">
        <w:t>máy tính và công nghệ thông tin</w:t>
      </w:r>
      <w:r w:rsidR="00DE4F84">
        <w:t>;</w:t>
      </w:r>
      <w:r w:rsidRPr="008B480B">
        <w:t xml:space="preserve"> nhóm ngành kỹ thuật cơ khí và cơ kỹ thuật</w:t>
      </w:r>
      <w:r w:rsidR="00DE4F84">
        <w:t>;</w:t>
      </w:r>
      <w:r w:rsidR="00784A4B">
        <w:t xml:space="preserve"> ngành kỹ thuật cơ khí; ngành công nghệ kỹ thuật cơ khí;</w:t>
      </w:r>
      <w:r w:rsidRPr="008B480B">
        <w:t xml:space="preserve"> </w:t>
      </w:r>
      <w:r w:rsidRPr="008B480B">
        <w:rPr>
          <w:lang w:val="en-GB"/>
        </w:rPr>
        <w:t xml:space="preserve">ngành phòng cháy chữa cháy và cứu </w:t>
      </w:r>
      <w:r w:rsidR="003A16ED">
        <w:rPr>
          <w:lang w:val="en-GB"/>
        </w:rPr>
        <w:t>nạn</w:t>
      </w:r>
      <w:r w:rsidRPr="008B480B">
        <w:rPr>
          <w:lang w:val="en-GB"/>
        </w:rPr>
        <w:t xml:space="preserve"> cứu </w:t>
      </w:r>
      <w:r w:rsidR="003A16ED">
        <w:rPr>
          <w:lang w:val="en-GB"/>
        </w:rPr>
        <w:t>hộ</w:t>
      </w:r>
      <w:r w:rsidR="00A52010">
        <w:rPr>
          <w:lang w:val="en-GB"/>
        </w:rPr>
        <w:t>;</w:t>
      </w:r>
      <w:r w:rsidRPr="008B480B">
        <w:t xml:space="preserve"> ngành chỉ huy</w:t>
      </w:r>
      <w:r w:rsidR="00BA4CDD">
        <w:t>,</w:t>
      </w:r>
      <w:r w:rsidR="003A16ED">
        <w:t xml:space="preserve"> quản lý</w:t>
      </w:r>
      <w:r w:rsidRPr="008B480B">
        <w:t xml:space="preserve"> kỹ thuật.</w:t>
      </w:r>
    </w:p>
    <w:p w:rsidR="00287581" w:rsidRPr="008B480B" w:rsidRDefault="00287581" w:rsidP="002C70ED">
      <w:pPr>
        <w:spacing w:before="120"/>
        <w:ind w:firstLine="567"/>
        <w:jc w:val="both"/>
      </w:pPr>
      <w:r w:rsidRPr="008B480B">
        <w:t>g) Giám định viên âm thanh: có trình độ đại học trở lên thuộc một trong những nhóm ngành máy tính và công nghệ thông tin;</w:t>
      </w:r>
      <w:r w:rsidRPr="008B480B">
        <w:rPr>
          <w:lang w:val="en-GB"/>
        </w:rPr>
        <w:t xml:space="preserve"> nhóm ngành công nghệ kỹ thuật điện, điện tử và viễn thông; nhóm ngành kỹ thuật điện, điện tử và viễn thông; nhóm ngành ngôn ngữ</w:t>
      </w:r>
      <w:r w:rsidR="003A16ED">
        <w:rPr>
          <w:lang w:val="en-GB"/>
        </w:rPr>
        <w:t>, văn học</w:t>
      </w:r>
      <w:r w:rsidRPr="008B480B">
        <w:rPr>
          <w:lang w:val="en-GB"/>
        </w:rPr>
        <w:t xml:space="preserve"> và văn hóa Việt Nam</w:t>
      </w:r>
      <w:r w:rsidR="00A52010">
        <w:rPr>
          <w:lang w:val="en-GB"/>
        </w:rPr>
        <w:t>;</w:t>
      </w:r>
      <w:r w:rsidRPr="008B480B">
        <w:rPr>
          <w:lang w:val="en-GB"/>
        </w:rPr>
        <w:t xml:space="preserve"> ngành ngôn ngữ học</w:t>
      </w:r>
      <w:r w:rsidR="00A52010">
        <w:rPr>
          <w:lang w:val="en-GB"/>
        </w:rPr>
        <w:t>;</w:t>
      </w:r>
      <w:r w:rsidRPr="008B480B">
        <w:rPr>
          <w:lang w:val="en-GB"/>
        </w:rPr>
        <w:t xml:space="preserve"> ngành chỉ huy</w:t>
      </w:r>
      <w:r w:rsidR="00BA4CDD">
        <w:rPr>
          <w:lang w:val="en-GB"/>
        </w:rPr>
        <w:t>, quản lý kỹ thuật</w:t>
      </w:r>
      <w:r w:rsidRPr="008B480B">
        <w:rPr>
          <w:lang w:val="en-GB"/>
        </w:rPr>
        <w:t>.</w:t>
      </w:r>
    </w:p>
    <w:p w:rsidR="00287581" w:rsidRPr="00B951D8" w:rsidRDefault="00287581" w:rsidP="002C70ED">
      <w:pPr>
        <w:spacing w:before="120"/>
        <w:ind w:firstLine="567"/>
        <w:jc w:val="both"/>
        <w:rPr>
          <w:spacing w:val="-2"/>
        </w:rPr>
      </w:pPr>
      <w:r w:rsidRPr="00B951D8">
        <w:rPr>
          <w:spacing w:val="-2"/>
        </w:rPr>
        <w:t>h) Giám định viên sinh học: có trình độ đại học trở lên thuộc một trong những nhóm ngành sinh học</w:t>
      </w:r>
      <w:r w:rsidR="00A52010" w:rsidRPr="00B951D8">
        <w:rPr>
          <w:spacing w:val="-2"/>
        </w:rPr>
        <w:t>;</w:t>
      </w:r>
      <w:r w:rsidRPr="00B951D8">
        <w:rPr>
          <w:spacing w:val="-2"/>
        </w:rPr>
        <w:t xml:space="preserve"> nhóm ngành sinh học ứng dụng</w:t>
      </w:r>
      <w:r w:rsidR="00A52010" w:rsidRPr="00B951D8">
        <w:rPr>
          <w:spacing w:val="-2"/>
        </w:rPr>
        <w:t>;</w:t>
      </w:r>
      <w:r w:rsidRPr="00B951D8">
        <w:rPr>
          <w:spacing w:val="-2"/>
        </w:rPr>
        <w:t xml:space="preserve"> nhóm ngành y học</w:t>
      </w:r>
      <w:r w:rsidR="00A52010" w:rsidRPr="00B951D8">
        <w:rPr>
          <w:spacing w:val="-2"/>
        </w:rPr>
        <w:t>;</w:t>
      </w:r>
      <w:r w:rsidRPr="00B951D8">
        <w:rPr>
          <w:spacing w:val="-2"/>
        </w:rPr>
        <w:t xml:space="preserve"> nhóm ngành </w:t>
      </w:r>
      <w:r w:rsidR="003A16ED" w:rsidRPr="00B951D8">
        <w:rPr>
          <w:spacing w:val="-2"/>
        </w:rPr>
        <w:t>kỹ thuật</w:t>
      </w:r>
      <w:r w:rsidRPr="00B951D8">
        <w:rPr>
          <w:spacing w:val="-2"/>
        </w:rPr>
        <w:t xml:space="preserve"> y tế</w:t>
      </w:r>
      <w:r w:rsidR="00A52010" w:rsidRPr="00B951D8">
        <w:rPr>
          <w:spacing w:val="-2"/>
        </w:rPr>
        <w:t>;</w:t>
      </w:r>
      <w:r w:rsidRPr="00B951D8">
        <w:rPr>
          <w:spacing w:val="-2"/>
        </w:rPr>
        <w:t xml:space="preserve"> ngành sư phạm sinh học</w:t>
      </w:r>
      <w:r w:rsidR="00B951D8" w:rsidRPr="00B951D8">
        <w:rPr>
          <w:spacing w:val="-2"/>
        </w:rPr>
        <w:t>, ngành công nghệ sinh học</w:t>
      </w:r>
      <w:r w:rsidRPr="00B951D8">
        <w:rPr>
          <w:spacing w:val="-2"/>
        </w:rPr>
        <w:t xml:space="preserve">. </w:t>
      </w:r>
    </w:p>
    <w:p w:rsidR="00287581" w:rsidRPr="008B480B" w:rsidRDefault="00287581" w:rsidP="002C70ED">
      <w:pPr>
        <w:spacing w:before="120"/>
        <w:ind w:firstLine="567"/>
        <w:jc w:val="both"/>
      </w:pPr>
      <w:r w:rsidRPr="008B480B">
        <w:t>i) Giám định viên hoá học: có trình độ đại học trở lên thuộc một trong nhóm ngành dược học</w:t>
      </w:r>
      <w:r w:rsidR="00A52010">
        <w:t>;</w:t>
      </w:r>
      <w:r w:rsidRPr="008B480B">
        <w:t xml:space="preserve"> ngành hóa học</w:t>
      </w:r>
      <w:r w:rsidR="00A52010">
        <w:t>;</w:t>
      </w:r>
      <w:r w:rsidRPr="008B480B">
        <w:t xml:space="preserve"> ngành công nghệ kỹ thuật hóa học</w:t>
      </w:r>
      <w:r w:rsidR="00A52010">
        <w:t>;</w:t>
      </w:r>
      <w:r w:rsidRPr="008B480B">
        <w:t xml:space="preserve"> ngành công nghệ kỹ thuật môi trường</w:t>
      </w:r>
      <w:r w:rsidR="00A52010">
        <w:t>;</w:t>
      </w:r>
      <w:r w:rsidRPr="008B480B">
        <w:t xml:space="preserve"> ngành công nghệ thực phẩm</w:t>
      </w:r>
      <w:r w:rsidR="00A52010">
        <w:t>;</w:t>
      </w:r>
      <w:r w:rsidRPr="008B480B">
        <w:t xml:space="preserve"> ngành sư phạm hóa học</w:t>
      </w:r>
      <w:r w:rsidR="00A52010">
        <w:t>;</w:t>
      </w:r>
      <w:r w:rsidRPr="008B480B">
        <w:t xml:space="preserve"> ngành địa chất học</w:t>
      </w:r>
      <w:r w:rsidR="00A52010">
        <w:t>;</w:t>
      </w:r>
      <w:r w:rsidRPr="008B480B">
        <w:t xml:space="preserve"> ngành chỉ huy kỹ thuật hóa học.</w:t>
      </w:r>
    </w:p>
    <w:p w:rsidR="00287581" w:rsidRPr="008B480B" w:rsidRDefault="00287581" w:rsidP="002C70ED">
      <w:pPr>
        <w:spacing w:before="120"/>
        <w:ind w:firstLine="567"/>
        <w:jc w:val="both"/>
      </w:pPr>
      <w:r w:rsidRPr="008B480B">
        <w:lastRenderedPageBreak/>
        <w:t xml:space="preserve">k) Giám định viên kỹ thuật số và điện tử: có trình độ đại học trở lên thuộc một trong những nhóm ngành </w:t>
      </w:r>
      <w:r w:rsidRPr="008B480B">
        <w:rPr>
          <w:lang w:val="en-GB"/>
        </w:rPr>
        <w:t>công nghệ kỹ thuật điện, điện tử và viễn thông</w:t>
      </w:r>
      <w:r w:rsidR="00A52010">
        <w:rPr>
          <w:lang w:val="en-GB"/>
        </w:rPr>
        <w:t>;</w:t>
      </w:r>
      <w:r w:rsidRPr="008B480B">
        <w:rPr>
          <w:lang w:val="en-GB"/>
        </w:rPr>
        <w:t xml:space="preserve"> nhóm ngành kỹ thuật điện, điện tử và viễn thông</w:t>
      </w:r>
      <w:r w:rsidRPr="008B480B">
        <w:t xml:space="preserve">; </w:t>
      </w:r>
      <w:r w:rsidR="003A16ED">
        <w:t>lĩnh vực</w:t>
      </w:r>
      <w:r w:rsidRPr="008B480B">
        <w:t xml:space="preserve"> máy tính và công nghệ thông tin</w:t>
      </w:r>
      <w:r w:rsidR="00A52010">
        <w:t>;</w:t>
      </w:r>
      <w:r w:rsidR="00BA4CDD">
        <w:t xml:space="preserve"> ngành chỉ huy, quản lý kỹ thuật</w:t>
      </w:r>
      <w:r w:rsidRPr="008B480B">
        <w:t>.</w:t>
      </w:r>
    </w:p>
    <w:p w:rsidR="00287581" w:rsidRPr="008B480B" w:rsidRDefault="00287581" w:rsidP="002C70ED">
      <w:pPr>
        <w:spacing w:before="120"/>
        <w:ind w:firstLine="567"/>
        <w:jc w:val="both"/>
      </w:pPr>
      <w:r w:rsidRPr="008B480B">
        <w:t>4. Có chứng chỉ đã qua đào tạo hoặc bồi dưỡng về chuyên môn nghiệp vụ giám định ở chuyên ngành được đề nghị bổ nhiệm do Viện Khoa học hình sự hoặc cơ quan Khoa học hình sự ở nước ngoài được công nhận tại Việt Nam theo quy định của pháp luật về giáo dục và điều ước quốc tế mà nước Cộng hòa xã hội chủ nghĩa Việt Nam ký kết hoặc gia nhập cấp.</w:t>
      </w:r>
    </w:p>
    <w:p w:rsidR="00766D1D" w:rsidRPr="008B480B" w:rsidRDefault="000E27C8" w:rsidP="002C70ED">
      <w:pPr>
        <w:spacing w:before="120"/>
        <w:ind w:firstLine="567"/>
        <w:jc w:val="both"/>
        <w:rPr>
          <w:b/>
        </w:rPr>
      </w:pPr>
      <w:r w:rsidRPr="008B480B">
        <w:rPr>
          <w:b/>
        </w:rPr>
        <w:t>Điều 5. Hoạt động giám định đối với các chuyên ngành giám định</w:t>
      </w:r>
    </w:p>
    <w:p w:rsidR="000E27C8" w:rsidRPr="008B480B" w:rsidRDefault="007B7987" w:rsidP="002C70ED">
      <w:pPr>
        <w:spacing w:before="120"/>
        <w:ind w:firstLine="567"/>
        <w:jc w:val="both"/>
      </w:pPr>
      <w:r>
        <w:t>C</w:t>
      </w:r>
      <w:r w:rsidR="000E27C8" w:rsidRPr="008B480B">
        <w:t xml:space="preserve">ác loại vụ, việc </w:t>
      </w:r>
      <w:r>
        <w:t xml:space="preserve">khi tiến hành giám định </w:t>
      </w:r>
      <w:r w:rsidR="000E27C8" w:rsidRPr="008B480B">
        <w:t>phải do giám định viên chuyên ngành đó thực hiện theo quy trình được Bộ Công an ban hành. Đối với một vụ, việc có thể do giám định</w:t>
      </w:r>
      <w:r w:rsidR="00F201F6">
        <w:t xml:space="preserve"> viên</w:t>
      </w:r>
      <w:r w:rsidR="000E27C8" w:rsidRPr="008B480B">
        <w:t xml:space="preserve"> các chuyên ngành khác nhau thực hiện nhưng phải tuân thủ theo quy trình giám định</w:t>
      </w:r>
      <w:r w:rsidR="00A53BA5" w:rsidRPr="008B480B">
        <w:t xml:space="preserve"> thuộc chuyên ngành đó quy định.</w:t>
      </w:r>
    </w:p>
    <w:p w:rsidR="00A53BA5" w:rsidRPr="008B480B" w:rsidRDefault="00A53BA5" w:rsidP="002C70ED">
      <w:pPr>
        <w:spacing w:before="120"/>
        <w:ind w:firstLine="567"/>
        <w:jc w:val="both"/>
        <w:rPr>
          <w:b/>
        </w:rPr>
      </w:pPr>
      <w:r w:rsidRPr="008B480B">
        <w:rPr>
          <w:b/>
        </w:rPr>
        <w:t>Điều 6. Thẩm quyền, trình tự, thủ tục bổ nhiệm, miễn nhiệm giám định viên kỹ thuật hình sự</w:t>
      </w:r>
    </w:p>
    <w:p w:rsidR="00B846EB" w:rsidRPr="008B480B" w:rsidRDefault="00A53BA5" w:rsidP="002C70ED">
      <w:pPr>
        <w:spacing w:before="120"/>
        <w:ind w:firstLine="567"/>
        <w:jc w:val="both"/>
        <w:rPr>
          <w:lang w:val="sv-SE"/>
        </w:rPr>
      </w:pPr>
      <w:r w:rsidRPr="008B480B">
        <w:rPr>
          <w:lang w:val="sv-SE"/>
        </w:rPr>
        <w:t>1. Viện Khoa học hình sự lựa chọn người có đủ tiêu chuẩn bổ nhiệm giám định viên kỹ thuật hình sự theo qu</w:t>
      </w:r>
      <w:r w:rsidR="007B7987">
        <w:rPr>
          <w:lang w:val="sv-SE"/>
        </w:rPr>
        <w:t>y định tại khoản 1 Điều 7 Luật G</w:t>
      </w:r>
      <w:r w:rsidRPr="008B480B">
        <w:rPr>
          <w:lang w:val="sv-SE"/>
        </w:rPr>
        <w:t>iám định tư pháp, Điều 4 Thông tư này; rà soát các trường hợp miễn nhiệm giám định viên kỹ thuật hình sự theo quy</w:t>
      </w:r>
      <w:r w:rsidR="007B7987">
        <w:rPr>
          <w:lang w:val="sv-SE"/>
        </w:rPr>
        <w:t xml:space="preserve"> định tại khoản 1 Điều 10 Luật G</w:t>
      </w:r>
      <w:r w:rsidRPr="008B480B">
        <w:rPr>
          <w:lang w:val="sv-SE"/>
        </w:rPr>
        <w:t xml:space="preserve">iám định tư pháp, tập hợp hồ sơ đề nghị bổ nhiệm, miễn nhiệm giám định viên kỹ thuật hình sự, trình Bộ trưởng Bộ Công an ra quyết định bổ nhiệm, miễn nhiệm giám định viên kỹ thuật hình sự </w:t>
      </w:r>
      <w:r w:rsidR="00B846EB" w:rsidRPr="008B480B">
        <w:rPr>
          <w:lang w:val="sv-SE"/>
        </w:rPr>
        <w:t>theo từng chuyên ngành cụ thể tại Điều 3 Thông tư này thuộc Viện Khoa học hình sự.</w:t>
      </w:r>
    </w:p>
    <w:p w:rsidR="00A53BA5" w:rsidRPr="008B480B" w:rsidRDefault="00A53BA5" w:rsidP="002C70ED">
      <w:pPr>
        <w:spacing w:before="120"/>
        <w:ind w:firstLine="567"/>
        <w:jc w:val="both"/>
        <w:rPr>
          <w:lang w:val="sv-SE"/>
        </w:rPr>
      </w:pPr>
      <w:r w:rsidRPr="008B480B">
        <w:rPr>
          <w:lang w:val="sv-SE"/>
        </w:rPr>
        <w:t xml:space="preserve">2. Cục Điều tra hình sự Bộ Quốc phòng có trách nhiệm lựa chọn người có đủ tiêu chuẩn bổ nhiệm giám định viên kỹ thuật hình sự theo quy định tại khoản 1 Điều 7 Luật </w:t>
      </w:r>
      <w:r w:rsidR="007B7987">
        <w:rPr>
          <w:lang w:val="sv-SE"/>
        </w:rPr>
        <w:t>G</w:t>
      </w:r>
      <w:r w:rsidRPr="008B480B">
        <w:rPr>
          <w:lang w:val="sv-SE"/>
        </w:rPr>
        <w:t xml:space="preserve">iám định tư pháp, Điều 4 Thông tư này; rà soát các trường hợp miễn nhiệm giám định viên kỹ thuật hình sự theo quy định tại khoản 1 Điều 10 Luật </w:t>
      </w:r>
      <w:r w:rsidR="007B7987">
        <w:rPr>
          <w:lang w:val="sv-SE"/>
        </w:rPr>
        <w:t>G</w:t>
      </w:r>
      <w:r w:rsidRPr="008B480B">
        <w:rPr>
          <w:lang w:val="sv-SE"/>
        </w:rPr>
        <w:t xml:space="preserve">iám định tư pháp, báo cáo Bộ trưởng Bộ Quốc phòng đề nghị Bộ trưởng Bộ Công an ra quyết định bổ nhiệm, miễn nhiệm giám định viên kỹ thuật hình sự </w:t>
      </w:r>
      <w:r w:rsidR="00B846EB" w:rsidRPr="008B480B">
        <w:rPr>
          <w:lang w:val="sv-SE"/>
        </w:rPr>
        <w:t xml:space="preserve">theo từng chuyên ngành cụ thể tại Điều 3 Thông tư này </w:t>
      </w:r>
      <w:r w:rsidRPr="008B480B">
        <w:rPr>
          <w:lang w:val="sv-SE"/>
        </w:rPr>
        <w:t xml:space="preserve">thuộc Phòng Giám định kỹ thuật hình sự Cục Điều tra hình sự Bộ Quốc phòng và gửi hồ sơ qua Viện Khoa học hình sự. Viện </w:t>
      </w:r>
      <w:r w:rsidR="007B7987">
        <w:rPr>
          <w:lang w:val="sv-SE"/>
        </w:rPr>
        <w:t>K</w:t>
      </w:r>
      <w:r w:rsidRPr="008B480B">
        <w:rPr>
          <w:lang w:val="sv-SE"/>
        </w:rPr>
        <w:t>hoa học hình sự có trách nhiệm kiểm tra hoàn chỉnh hồ sơ báo cáo Bộ trưởng Bộ Công an.</w:t>
      </w:r>
    </w:p>
    <w:p w:rsidR="008B480B" w:rsidRPr="008B480B" w:rsidRDefault="008B480B" w:rsidP="002C70ED">
      <w:pPr>
        <w:spacing w:before="120"/>
        <w:ind w:firstLine="567"/>
        <w:jc w:val="both"/>
        <w:rPr>
          <w:lang w:val="sv-SE"/>
        </w:rPr>
      </w:pPr>
      <w:r w:rsidRPr="008B480B">
        <w:rPr>
          <w:lang w:val="sv-SE"/>
        </w:rPr>
        <w:t xml:space="preserve">3. Phòng Giám định kỹ thuật hình sự thuộc Viện kiểm sát nhân dân tối cao có trách nhiệm lựa chọn người có đủ tiêu chuẩn bổ nhiệm giám định viên kỹ thuật hình sự theo quy định tại khoản 1 Điều 7 Luật giám định tư pháp, Điều 4 Thông tư này; rà soát các trường hợp miễn nhiệm giám định viên kỹ thuật hình sự theo quy định tại khoản 1 Điều 10 Luật </w:t>
      </w:r>
      <w:r w:rsidR="007B7987">
        <w:rPr>
          <w:lang w:val="sv-SE"/>
        </w:rPr>
        <w:t>G</w:t>
      </w:r>
      <w:r w:rsidRPr="008B480B">
        <w:rPr>
          <w:lang w:val="sv-SE"/>
        </w:rPr>
        <w:t xml:space="preserve">iám định tư pháp, báo cáo Viện trưởng Viện kiểm sát nhân dân tối cao đề nghị Bộ trưởng Bộ Công an ra quyết định bổ nhiệm, miễn nhiệm giám định viên kỹ thuật hình sự theo từng chuyên ngành cụ thể tại khoản 7, khoản 10 Điều 3 Thông tư này thuộc Phòng Giám định kỹ thuật hình sự Viện kiểm sát nhân dân tối cao và gửi hồ sơ qua Viện Khoa học hình sự. Viện </w:t>
      </w:r>
      <w:r w:rsidRPr="008B480B">
        <w:rPr>
          <w:lang w:val="sv-SE"/>
        </w:rPr>
        <w:lastRenderedPageBreak/>
        <w:t>khoa học hình sự có trách nhiệm kiểm tra hoàn chỉnh hồ sơ báo cáo Bộ trưởng Bộ Công an.</w:t>
      </w:r>
    </w:p>
    <w:p w:rsidR="00B846EB" w:rsidRDefault="008B480B" w:rsidP="002C70ED">
      <w:pPr>
        <w:spacing w:before="120"/>
        <w:ind w:firstLine="567"/>
        <w:jc w:val="both"/>
        <w:rPr>
          <w:lang w:val="sv-SE"/>
        </w:rPr>
      </w:pPr>
      <w:r w:rsidRPr="008B480B">
        <w:rPr>
          <w:lang w:val="sv-SE"/>
        </w:rPr>
        <w:t>4</w:t>
      </w:r>
      <w:r w:rsidR="00A53BA5" w:rsidRPr="008B480B">
        <w:rPr>
          <w:lang w:val="sv-SE"/>
        </w:rPr>
        <w:t xml:space="preserve">. Công an cấp tỉnh có trách nhiệm lựa chọn người có đủ tiêu chuẩn bổ nhiệm giám định </w:t>
      </w:r>
      <w:r w:rsidR="00B846EB" w:rsidRPr="008B480B">
        <w:rPr>
          <w:lang w:val="sv-SE"/>
        </w:rPr>
        <w:t>giám định viên kỹ thuật hình sự theo quy định tại khoản 1 Điều 7 Luật giám định tư pháp, Điều 4 Thông tư này; rà soát các trường hợp miễn nhiệm giám định viên kỹ thuật hình sự theo quy định tại khoản 1 Điều 10 Luật giám định tư pháp, trình Bộ trưởng Bộ Công an ra quyết định bổ nhiệm, miễn nhiệm giám định viên kỹ thuật hình sự theo từng chuyên ngành cụ thể tại Điều 3 Thông tư này thuộc Phòng Kỹ thuật hình sự và gửi hồ sơ qua Viện Khoa học hình sự. Viện khoa học hình sự có trách nhiệm</w:t>
      </w:r>
      <w:r w:rsidR="00A52010">
        <w:rPr>
          <w:lang w:val="sv-SE"/>
        </w:rPr>
        <w:t xml:space="preserve"> </w:t>
      </w:r>
      <w:r w:rsidR="00B846EB" w:rsidRPr="008B480B">
        <w:rPr>
          <w:lang w:val="sv-SE"/>
        </w:rPr>
        <w:t>kiểm tra hoàn chỉnh hồ sơ báo cáo Bộ trưởng Bộ Công an.</w:t>
      </w:r>
    </w:p>
    <w:p w:rsidR="00B846EB" w:rsidRPr="008B480B" w:rsidRDefault="008B480B" w:rsidP="002C70ED">
      <w:pPr>
        <w:spacing w:before="120"/>
        <w:ind w:firstLine="567"/>
        <w:jc w:val="both"/>
        <w:rPr>
          <w:lang w:val="sv-SE"/>
        </w:rPr>
      </w:pPr>
      <w:r w:rsidRPr="008B480B">
        <w:rPr>
          <w:lang w:val="sv-SE"/>
        </w:rPr>
        <w:t>5</w:t>
      </w:r>
      <w:r w:rsidR="00B846EB" w:rsidRPr="008B480B">
        <w:rPr>
          <w:lang w:val="sv-SE"/>
        </w:rPr>
        <w:t>. Trong thời hạn 10 ngày làm việc, kể từ ngày bổ nhiệm, miễn nhiệm giám định viên kỹ thuật hình sự, Bộ Công an có trách nhiệm lập, đăng tải danh sách bổ nhiệm, miễn nhiệm giám định viên kỹ thuật hình sự trên cổng thông tin điện tử của Bộ Công an</w:t>
      </w:r>
      <w:r w:rsidR="00F201F6">
        <w:rPr>
          <w:lang w:val="sv-SE"/>
        </w:rPr>
        <w:t xml:space="preserve">, </w:t>
      </w:r>
      <w:r w:rsidR="00F201F6" w:rsidRPr="008B480B">
        <w:rPr>
          <w:lang w:val="sv-SE"/>
        </w:rPr>
        <w:t>đồng thời gửi Bộ Tư pháp để lập, điều chỉnh danh sách chung về giám định viên tư pháp</w:t>
      </w:r>
      <w:r w:rsidR="00B846EB" w:rsidRPr="008B480B">
        <w:rPr>
          <w:lang w:val="sv-SE"/>
        </w:rPr>
        <w:t>.</w:t>
      </w:r>
    </w:p>
    <w:p w:rsidR="00B846EB" w:rsidRDefault="00B846EB" w:rsidP="002C70ED">
      <w:pPr>
        <w:spacing w:before="120"/>
        <w:ind w:firstLine="567"/>
        <w:jc w:val="both"/>
        <w:rPr>
          <w:lang w:val="sv-SE"/>
        </w:rPr>
      </w:pPr>
      <w:r w:rsidRPr="008B480B">
        <w:rPr>
          <w:lang w:val="sv-SE"/>
        </w:rPr>
        <w:t xml:space="preserve">Viện Khoa học hình sự có trách nhiệm giúp Bộ Công an lập, đăng tải danh sách giám định viên </w:t>
      </w:r>
      <w:r w:rsidR="008B480B" w:rsidRPr="008B480B">
        <w:t>kỹ thuật hình sự</w:t>
      </w:r>
      <w:r w:rsidRPr="008B480B">
        <w:t xml:space="preserve"> </w:t>
      </w:r>
      <w:r w:rsidRPr="008B480B">
        <w:rPr>
          <w:lang w:val="sv-SE"/>
        </w:rPr>
        <w:t>trên cổng thông tin điện tử của Bộ Công an, đồng thời gửi Bộ Tư pháp để lập, điều chỉnh danh sách chung về giám định viên tư pháp.</w:t>
      </w:r>
    </w:p>
    <w:p w:rsidR="00F201F6" w:rsidRDefault="00F201F6" w:rsidP="00F201F6">
      <w:pPr>
        <w:spacing w:before="120"/>
        <w:ind w:firstLine="567"/>
        <w:jc w:val="both"/>
        <w:rPr>
          <w:lang w:val="sv-SE"/>
        </w:rPr>
      </w:pPr>
      <w:r w:rsidRPr="008B480B">
        <w:rPr>
          <w:lang w:val="sv-SE"/>
        </w:rPr>
        <w:t xml:space="preserve">Cục Điều tra hình sự Bộ Quốc phòng có trách nhiệm giúp Bộ </w:t>
      </w:r>
      <w:r>
        <w:rPr>
          <w:lang w:val="sv-SE"/>
        </w:rPr>
        <w:t>Quốc phòng</w:t>
      </w:r>
      <w:r w:rsidRPr="008B480B">
        <w:rPr>
          <w:lang w:val="sv-SE"/>
        </w:rPr>
        <w:t xml:space="preserve"> lập, đăng tải danh sách giám định viên </w:t>
      </w:r>
      <w:r w:rsidRPr="008B480B">
        <w:t xml:space="preserve">kỹ thuật hình sự </w:t>
      </w:r>
      <w:r w:rsidRPr="008B480B">
        <w:rPr>
          <w:lang w:val="sv-SE"/>
        </w:rPr>
        <w:t xml:space="preserve">trên cổng thông tin điện tử của Bộ </w:t>
      </w:r>
      <w:r>
        <w:rPr>
          <w:lang w:val="sv-SE"/>
        </w:rPr>
        <w:t>Quốc phòng</w:t>
      </w:r>
      <w:r w:rsidRPr="008B480B">
        <w:rPr>
          <w:lang w:val="sv-SE"/>
        </w:rPr>
        <w:t>, đồng thời gửi Bộ Tư pháp để lập, điều chỉnh danh sách chung về giám định viên tư pháp.</w:t>
      </w:r>
    </w:p>
    <w:p w:rsidR="00F201F6" w:rsidRDefault="00F201F6" w:rsidP="00F201F6">
      <w:pPr>
        <w:spacing w:before="120"/>
        <w:ind w:firstLine="567"/>
        <w:jc w:val="both"/>
        <w:rPr>
          <w:lang w:val="sv-SE"/>
        </w:rPr>
      </w:pPr>
      <w:r w:rsidRPr="008B480B">
        <w:rPr>
          <w:lang w:val="sv-SE"/>
        </w:rPr>
        <w:t xml:space="preserve">Phòng Giám định kỹ thuật hình sự thuộc Viện kiểm sát nhân dân tối cao có trách nhiệm giúp </w:t>
      </w:r>
      <w:r>
        <w:rPr>
          <w:lang w:val="sv-SE"/>
        </w:rPr>
        <w:t>Viện kiểm sát nhân dân tối cao</w:t>
      </w:r>
      <w:r w:rsidRPr="008B480B">
        <w:rPr>
          <w:lang w:val="sv-SE"/>
        </w:rPr>
        <w:t xml:space="preserve"> lập, đăng tải danh sách giám định viên </w:t>
      </w:r>
      <w:r w:rsidRPr="008B480B">
        <w:t xml:space="preserve">kỹ thuật hình sự </w:t>
      </w:r>
      <w:r w:rsidRPr="008B480B">
        <w:rPr>
          <w:lang w:val="sv-SE"/>
        </w:rPr>
        <w:t xml:space="preserve">trên cổng thông tin điện tử của </w:t>
      </w:r>
      <w:r>
        <w:rPr>
          <w:lang w:val="sv-SE"/>
        </w:rPr>
        <w:t>Viện kiểm sát nhân dân tối cao</w:t>
      </w:r>
      <w:r w:rsidRPr="008B480B">
        <w:rPr>
          <w:lang w:val="sv-SE"/>
        </w:rPr>
        <w:t>, đồng thời gửi Bộ Tư pháp để lập, điều chỉnh danh sách chung về giám định viên tư pháp.</w:t>
      </w:r>
    </w:p>
    <w:p w:rsidR="00B846EB" w:rsidRPr="008B480B" w:rsidRDefault="00B846EB" w:rsidP="002C70ED">
      <w:pPr>
        <w:spacing w:before="120"/>
        <w:ind w:firstLine="567"/>
        <w:jc w:val="both"/>
        <w:rPr>
          <w:lang w:val="sv-SE"/>
        </w:rPr>
      </w:pPr>
      <w:r w:rsidRPr="008B480B">
        <w:rPr>
          <w:lang w:val="sv-SE"/>
        </w:rPr>
        <w:t xml:space="preserve">Công an cấp tỉnh (Phòng Kỹ thuật hình sự) có trách nhiệm </w:t>
      </w:r>
      <w:r w:rsidR="005941D6">
        <w:rPr>
          <w:lang w:val="sv-SE"/>
        </w:rPr>
        <w:t xml:space="preserve">giúp </w:t>
      </w:r>
      <w:r w:rsidRPr="008B480B">
        <w:rPr>
          <w:lang w:val="sv-SE"/>
        </w:rPr>
        <w:t xml:space="preserve">Bộ Công an lập, đăng tải danh sách giám định viên </w:t>
      </w:r>
      <w:r w:rsidR="008B480B">
        <w:t>kỹ thuật hình sự</w:t>
      </w:r>
      <w:r w:rsidRPr="008B480B">
        <w:rPr>
          <w:lang w:val="sv-SE"/>
        </w:rPr>
        <w:t xml:space="preserve"> trên cổng thông tin điện tử của Ủy ban nhân dân cấp tỉnh.</w:t>
      </w:r>
    </w:p>
    <w:p w:rsidR="00A53BA5" w:rsidRPr="008B480B" w:rsidRDefault="008B480B" w:rsidP="002C70ED">
      <w:pPr>
        <w:spacing w:before="120"/>
        <w:ind w:firstLine="567"/>
        <w:jc w:val="both"/>
        <w:rPr>
          <w:lang w:val="sv-SE"/>
        </w:rPr>
      </w:pPr>
      <w:r w:rsidRPr="008B480B">
        <w:rPr>
          <w:lang w:val="sv-SE"/>
        </w:rPr>
        <w:t>6</w:t>
      </w:r>
      <w:r w:rsidR="00A53BA5" w:rsidRPr="008B480B">
        <w:rPr>
          <w:lang w:val="sv-SE"/>
        </w:rPr>
        <w:t>. Quyết định bổ nhiệm, miễn nhiệm giám định viên kỹ thuật hình sự thuộc Viện khoa học hình sự Bộ Công an</w:t>
      </w:r>
      <w:r w:rsidR="00391DB5">
        <w:rPr>
          <w:lang w:val="sv-SE"/>
        </w:rPr>
        <w:t xml:space="preserve">, </w:t>
      </w:r>
      <w:r w:rsidR="00391DB5" w:rsidRPr="008B480B">
        <w:rPr>
          <w:lang w:val="sv-SE"/>
        </w:rPr>
        <w:t xml:space="preserve">Phòng Kỹ thuật hình sự Công an cấp tỉnh </w:t>
      </w:r>
      <w:r w:rsidR="00A53BA5" w:rsidRPr="008B480B">
        <w:rPr>
          <w:lang w:val="sv-SE"/>
        </w:rPr>
        <w:t xml:space="preserve"> theo biểu mẫu số 01a/KTHS, 01b/KTHS ban hành kèm theo Thông tư này.</w:t>
      </w:r>
    </w:p>
    <w:p w:rsidR="00A53BA5" w:rsidRPr="008B480B" w:rsidRDefault="00A53BA5" w:rsidP="002C70ED">
      <w:pPr>
        <w:spacing w:before="120"/>
        <w:ind w:firstLine="567"/>
        <w:jc w:val="both"/>
        <w:rPr>
          <w:lang w:val="sv-SE"/>
        </w:rPr>
      </w:pPr>
      <w:r w:rsidRPr="008B480B">
        <w:rPr>
          <w:lang w:val="sv-SE"/>
        </w:rPr>
        <w:t xml:space="preserve"> Quyết định bổ nhiệm, miễn nhiệm giám định viên kỹ thuật hình sự thuộc Cục Điều tra hình sự Bộ Quốc phòng theo biểu mẫu số 02a/KTHS, 02b/KTHS ban hành kèm theo Thông tư này.</w:t>
      </w:r>
    </w:p>
    <w:p w:rsidR="008B480B" w:rsidRPr="008B480B" w:rsidRDefault="008B480B" w:rsidP="002C70ED">
      <w:pPr>
        <w:spacing w:before="120"/>
        <w:ind w:firstLine="567"/>
        <w:jc w:val="both"/>
        <w:rPr>
          <w:lang w:val="sv-SE"/>
        </w:rPr>
      </w:pPr>
      <w:r w:rsidRPr="008B480B">
        <w:rPr>
          <w:lang w:val="sv-SE"/>
        </w:rPr>
        <w:t xml:space="preserve"> Quyết định bổ nhiệm, miễn nhiệm giám định viên kỹ thuật hình sự thuộc Phòng Giám định kỹ thuật hình sự Viện kiểm sát nhân dân tối cao theo biểu mẫu số 03a/KTHS, 03b/KTHS ban hành kèm theo Thông tư này.</w:t>
      </w:r>
    </w:p>
    <w:p w:rsidR="00CE156C" w:rsidRDefault="00CE156C" w:rsidP="00A45FB4">
      <w:pPr>
        <w:spacing w:before="120"/>
        <w:ind w:firstLine="567"/>
        <w:jc w:val="both"/>
        <w:rPr>
          <w:lang w:val="sv-SE"/>
        </w:rPr>
      </w:pPr>
      <w:r>
        <w:rPr>
          <w:lang w:val="sv-SE"/>
        </w:rPr>
        <w:lastRenderedPageBreak/>
        <w:t xml:space="preserve">7. </w:t>
      </w:r>
      <w:r w:rsidR="00A45FB4">
        <w:rPr>
          <w:lang w:val="sv-SE"/>
        </w:rPr>
        <w:t xml:space="preserve">Người được đề nghị bổ nhiệm giám định viên kỹ thuật hình sự có thể </w:t>
      </w:r>
      <w:r w:rsidR="00F201F6">
        <w:rPr>
          <w:lang w:val="sv-SE"/>
        </w:rPr>
        <w:t xml:space="preserve">được </w:t>
      </w:r>
      <w:r w:rsidR="00A45FB4">
        <w:rPr>
          <w:lang w:val="sv-SE"/>
        </w:rPr>
        <w:t xml:space="preserve">bổ nhiệm nhiều chuyên ngành </w:t>
      </w:r>
      <w:r>
        <w:rPr>
          <w:lang w:val="sv-SE"/>
        </w:rPr>
        <w:t xml:space="preserve">theo quy định tại </w:t>
      </w:r>
      <w:r w:rsidRPr="008B480B">
        <w:rPr>
          <w:lang w:val="sv-SE"/>
        </w:rPr>
        <w:t>Điều 3 Thông tư này</w:t>
      </w:r>
      <w:r w:rsidR="00E37BF4">
        <w:rPr>
          <w:lang w:val="sv-SE"/>
        </w:rPr>
        <w:t xml:space="preserve"> khi đảm bảo đầy đủ các điều kiện</w:t>
      </w:r>
      <w:r>
        <w:rPr>
          <w:lang w:val="sv-SE"/>
        </w:rPr>
        <w:t>.</w:t>
      </w:r>
    </w:p>
    <w:p w:rsidR="008B480B" w:rsidRPr="008B480B" w:rsidRDefault="008B480B" w:rsidP="00A45FB4">
      <w:pPr>
        <w:spacing w:before="120" w:line="264" w:lineRule="auto"/>
        <w:ind w:firstLine="567"/>
        <w:jc w:val="both"/>
        <w:rPr>
          <w:b/>
          <w:lang w:val="sv-SE"/>
        </w:rPr>
      </w:pPr>
      <w:r>
        <w:rPr>
          <w:b/>
          <w:lang w:val="sv-SE"/>
        </w:rPr>
        <w:t>Điều 7</w:t>
      </w:r>
      <w:r w:rsidRPr="008B480B">
        <w:rPr>
          <w:b/>
          <w:lang w:val="sv-SE"/>
        </w:rPr>
        <w:t>. Hồ sơ đề nghị bổ nhiệm, miễn nhiệm giám định viên kỹ thuật hình sự</w:t>
      </w:r>
    </w:p>
    <w:p w:rsidR="008B480B" w:rsidRPr="00E74C1C" w:rsidRDefault="008B480B" w:rsidP="00A45FB4">
      <w:pPr>
        <w:spacing w:before="120" w:line="264" w:lineRule="auto"/>
        <w:ind w:firstLine="567"/>
        <w:jc w:val="both"/>
        <w:rPr>
          <w:lang w:val="sv-SE"/>
        </w:rPr>
      </w:pPr>
      <w:r w:rsidRPr="00E74C1C">
        <w:rPr>
          <w:lang w:val="sv-SE"/>
        </w:rPr>
        <w:t>1. Hồ sơ đề nghị bổ nhiệm giám định viên kỹ</w:t>
      </w:r>
      <w:r w:rsidRPr="00E74C1C">
        <w:t xml:space="preserve"> </w:t>
      </w:r>
      <w:r w:rsidRPr="00E74C1C">
        <w:rPr>
          <w:lang w:val="sv-SE"/>
        </w:rPr>
        <w:t xml:space="preserve">thuật hình sự được làm thành 02 bộ, ngoài các văn bản quy định tại Điều 8 Luật </w:t>
      </w:r>
      <w:r w:rsidR="007B7987">
        <w:rPr>
          <w:lang w:val="sv-SE"/>
        </w:rPr>
        <w:t>G</w:t>
      </w:r>
      <w:r w:rsidRPr="00E74C1C">
        <w:rPr>
          <w:lang w:val="sv-SE"/>
        </w:rPr>
        <w:t>iám định tư pháp còn phải có các văn bản sau:</w:t>
      </w:r>
    </w:p>
    <w:p w:rsidR="008B480B" w:rsidRPr="00E74C1C" w:rsidRDefault="008B480B" w:rsidP="00A45FB4">
      <w:pPr>
        <w:spacing w:before="120" w:line="264" w:lineRule="auto"/>
        <w:ind w:firstLine="567"/>
        <w:jc w:val="both"/>
        <w:rPr>
          <w:lang w:val="sv-SE"/>
        </w:rPr>
      </w:pPr>
      <w:r w:rsidRPr="00E74C1C">
        <w:rPr>
          <w:lang w:val="sv-SE"/>
        </w:rPr>
        <w:t>a) Văn bản đề xuất của lãnh đạo phòng</w:t>
      </w:r>
      <w:r w:rsidR="00784A4B">
        <w:rPr>
          <w:lang w:val="sv-SE"/>
        </w:rPr>
        <w:t>,</w:t>
      </w:r>
      <w:r w:rsidRPr="00E74C1C">
        <w:rPr>
          <w:lang w:val="sv-SE"/>
        </w:rPr>
        <w:t xml:space="preserve"> trung tâm hoặc phân </w:t>
      </w:r>
      <w:r>
        <w:rPr>
          <w:lang w:val="sv-SE"/>
        </w:rPr>
        <w:t>v</w:t>
      </w:r>
      <w:r w:rsidRPr="00E74C1C">
        <w:rPr>
          <w:lang w:val="sv-SE"/>
        </w:rPr>
        <w:t>iện nơi người</w:t>
      </w:r>
      <w:r w:rsidR="00B876E6">
        <w:rPr>
          <w:lang w:val="sv-SE"/>
        </w:rPr>
        <w:t xml:space="preserve"> được đề nghị bổ nhiệm làm việc.</w:t>
      </w:r>
    </w:p>
    <w:p w:rsidR="008B480B" w:rsidRPr="00E74C1C" w:rsidRDefault="008B480B" w:rsidP="00A45FB4">
      <w:pPr>
        <w:spacing w:before="120" w:line="264" w:lineRule="auto"/>
        <w:ind w:firstLine="567"/>
        <w:jc w:val="both"/>
        <w:rPr>
          <w:lang w:val="sv-SE"/>
        </w:rPr>
      </w:pPr>
      <w:r w:rsidRPr="00E74C1C">
        <w:rPr>
          <w:lang w:val="sv-SE"/>
        </w:rPr>
        <w:t>b) Bản tự kiểm điểm của người được đề nghị bổ nhiệm giám định viên</w:t>
      </w:r>
      <w:r w:rsidR="00B876E6">
        <w:rPr>
          <w:lang w:val="sv-SE"/>
        </w:rPr>
        <w:t xml:space="preserve"> kỹ thuật hình sự</w:t>
      </w:r>
      <w:r w:rsidRPr="00E74C1C">
        <w:t xml:space="preserve"> </w:t>
      </w:r>
      <w:r w:rsidRPr="00E74C1C">
        <w:rPr>
          <w:lang w:val="sv-SE"/>
        </w:rPr>
        <w:t xml:space="preserve">trong thời gian giúp việc </w:t>
      </w:r>
      <w:r w:rsidR="00A45FB4">
        <w:rPr>
          <w:lang w:val="sv-SE"/>
        </w:rPr>
        <w:t>đối với</w:t>
      </w:r>
      <w:r w:rsidRPr="00E74C1C">
        <w:rPr>
          <w:lang w:val="sv-SE"/>
        </w:rPr>
        <w:t xml:space="preserve"> hoạt động giám định</w:t>
      </w:r>
      <w:r w:rsidR="00A45FB4">
        <w:rPr>
          <w:lang w:val="sv-SE"/>
        </w:rPr>
        <w:t xml:space="preserve"> kỹ thuật hình sự</w:t>
      </w:r>
      <w:r w:rsidRPr="00E74C1C">
        <w:rPr>
          <w:lang w:val="sv-SE"/>
        </w:rPr>
        <w:t xml:space="preserve"> có nhận xét của </w:t>
      </w:r>
      <w:r>
        <w:rPr>
          <w:lang w:val="sv-SE"/>
        </w:rPr>
        <w:t>p</w:t>
      </w:r>
      <w:r w:rsidRPr="00E74C1C">
        <w:rPr>
          <w:lang w:val="sv-SE"/>
        </w:rPr>
        <w:t xml:space="preserve">hòng, </w:t>
      </w:r>
      <w:r>
        <w:rPr>
          <w:lang w:val="sv-SE"/>
        </w:rPr>
        <w:t>trung tâm hoặc</w:t>
      </w:r>
      <w:r w:rsidRPr="00E74C1C">
        <w:rPr>
          <w:lang w:val="sv-SE"/>
        </w:rPr>
        <w:t xml:space="preserve"> </w:t>
      </w:r>
      <w:r>
        <w:rPr>
          <w:lang w:val="sv-SE"/>
        </w:rPr>
        <w:t>p</w:t>
      </w:r>
      <w:r w:rsidRPr="00E74C1C">
        <w:rPr>
          <w:lang w:val="sv-SE"/>
        </w:rPr>
        <w:t>hân viện nơi người</w:t>
      </w:r>
      <w:r w:rsidR="00B876E6">
        <w:rPr>
          <w:lang w:val="sv-SE"/>
        </w:rPr>
        <w:t xml:space="preserve"> được đề nghị bổ nhiệm làm việc.</w:t>
      </w:r>
    </w:p>
    <w:p w:rsidR="001073C2" w:rsidRPr="00E74C1C" w:rsidRDefault="001073C2" w:rsidP="00A45FB4">
      <w:pPr>
        <w:spacing w:before="120" w:line="264" w:lineRule="auto"/>
        <w:ind w:firstLine="567"/>
        <w:jc w:val="both"/>
        <w:rPr>
          <w:lang w:val="sv-SE"/>
        </w:rPr>
      </w:pPr>
      <w:r>
        <w:rPr>
          <w:lang w:val="sv-SE"/>
        </w:rPr>
        <w:t xml:space="preserve">c) 02 ảnh màu cỡ 2cmx3cm: ảnh trung thực, rõ nét, phông ảnh màu xanh nước biển, không đeo kính, mặc trang phục </w:t>
      </w:r>
      <w:r w:rsidR="00CE156C">
        <w:rPr>
          <w:lang w:val="sv-SE"/>
        </w:rPr>
        <w:t>xuân hè</w:t>
      </w:r>
      <w:r>
        <w:rPr>
          <w:lang w:val="sv-SE"/>
        </w:rPr>
        <w:t>, đeo số hiệu, đội mũ đúng điều lệnh Công</w:t>
      </w:r>
      <w:r w:rsidR="007B7987">
        <w:rPr>
          <w:lang w:val="sv-SE"/>
        </w:rPr>
        <w:t xml:space="preserve"> an nhân dân, Quân đội nhân dân và đúng quy định của</w:t>
      </w:r>
      <w:r>
        <w:rPr>
          <w:lang w:val="sv-SE"/>
        </w:rPr>
        <w:t xml:space="preserve"> Viện kiểm sát nhân dân</w:t>
      </w:r>
      <w:r w:rsidRPr="00E74C1C">
        <w:rPr>
          <w:lang w:val="sv-SE"/>
        </w:rPr>
        <w:t>.</w:t>
      </w:r>
    </w:p>
    <w:p w:rsidR="008B480B" w:rsidRPr="00CE156C" w:rsidRDefault="008B480B" w:rsidP="00A45FB4">
      <w:pPr>
        <w:spacing w:before="120" w:line="264" w:lineRule="auto"/>
        <w:ind w:firstLine="567"/>
        <w:jc w:val="both"/>
        <w:rPr>
          <w:spacing w:val="-6"/>
          <w:lang w:val="sv-SE"/>
        </w:rPr>
      </w:pPr>
      <w:r w:rsidRPr="00CE156C">
        <w:rPr>
          <w:spacing w:val="-6"/>
          <w:lang w:val="sv-SE"/>
        </w:rPr>
        <w:t xml:space="preserve">2. Hồ sơ đề nghị miễn nhiệm giám định viên kỹ thuật hình sự được làm thành 02 bộ và thực hiện theo quy định tại khoản 2 Điều 10 Luật </w:t>
      </w:r>
      <w:r w:rsidR="007B7987">
        <w:rPr>
          <w:spacing w:val="-6"/>
          <w:lang w:val="sv-SE"/>
        </w:rPr>
        <w:t>G</w:t>
      </w:r>
      <w:r w:rsidR="000F291D" w:rsidRPr="00CE156C">
        <w:rPr>
          <w:spacing w:val="-6"/>
          <w:lang w:val="sv-SE"/>
        </w:rPr>
        <w:t>iám định tư pháp</w:t>
      </w:r>
      <w:r w:rsidRPr="00CE156C">
        <w:rPr>
          <w:spacing w:val="-6"/>
          <w:lang w:val="sv-SE"/>
        </w:rPr>
        <w:t>.</w:t>
      </w:r>
    </w:p>
    <w:p w:rsidR="00B876E6" w:rsidRPr="00E74C1C" w:rsidRDefault="00B876E6" w:rsidP="00A45FB4">
      <w:pPr>
        <w:spacing w:before="120" w:line="264" w:lineRule="auto"/>
        <w:ind w:firstLine="567"/>
        <w:jc w:val="both"/>
        <w:rPr>
          <w:b/>
          <w:lang w:val="sv-SE"/>
        </w:rPr>
      </w:pPr>
      <w:r>
        <w:rPr>
          <w:b/>
          <w:lang w:val="sv-SE"/>
        </w:rPr>
        <w:t>Điều 8</w:t>
      </w:r>
      <w:r w:rsidRPr="00E74C1C">
        <w:rPr>
          <w:b/>
          <w:lang w:val="sv-SE"/>
        </w:rPr>
        <w:t>. Thẻ giám định viên kỹ thuật hình sự</w:t>
      </w:r>
    </w:p>
    <w:p w:rsidR="00EC2ACC" w:rsidRPr="00E74C1C" w:rsidRDefault="00EC2ACC" w:rsidP="00A45FB4">
      <w:pPr>
        <w:spacing w:before="120" w:line="264" w:lineRule="auto"/>
        <w:ind w:firstLine="567"/>
        <w:jc w:val="both"/>
        <w:rPr>
          <w:lang w:val="sv-SE"/>
        </w:rPr>
      </w:pPr>
      <w:r w:rsidRPr="00E74C1C">
        <w:rPr>
          <w:lang w:val="sv-SE"/>
        </w:rPr>
        <w:t>1. Thẻ giám định viên</w:t>
      </w:r>
      <w:r>
        <w:rPr>
          <w:lang w:val="sv-SE"/>
        </w:rPr>
        <w:t xml:space="preserve"> </w:t>
      </w:r>
      <w:r>
        <w:t>tư pháp</w:t>
      </w:r>
      <w:r w:rsidRPr="00E74C1C">
        <w:rPr>
          <w:lang w:val="sv-SE"/>
        </w:rPr>
        <w:t xml:space="preserve"> kỹ thuật hình sự là loại giấy công vụ do Bộ Công an ban hành </w:t>
      </w:r>
      <w:r>
        <w:rPr>
          <w:lang w:val="sv-SE"/>
        </w:rPr>
        <w:t xml:space="preserve">được in theo mẫu do Bộ Tư pháp quy định </w:t>
      </w:r>
      <w:r w:rsidRPr="00E74C1C">
        <w:rPr>
          <w:lang w:val="sv-SE"/>
        </w:rPr>
        <w:t xml:space="preserve">để cấp cho giám định viên </w:t>
      </w:r>
      <w:r>
        <w:t>tư pháp</w:t>
      </w:r>
      <w:r w:rsidRPr="00E74C1C">
        <w:t xml:space="preserve"> </w:t>
      </w:r>
      <w:r w:rsidRPr="00E74C1C">
        <w:rPr>
          <w:lang w:val="sv-SE"/>
        </w:rPr>
        <w:t>kỹ thuật hình sự trong toàn quốc.</w:t>
      </w:r>
    </w:p>
    <w:p w:rsidR="00F1323A" w:rsidRDefault="00F1323A" w:rsidP="00A45FB4">
      <w:pPr>
        <w:spacing w:before="120" w:line="264" w:lineRule="auto"/>
        <w:ind w:firstLine="567"/>
        <w:jc w:val="both"/>
        <w:rPr>
          <w:lang w:val="sv-SE"/>
        </w:rPr>
      </w:pPr>
      <w:r>
        <w:rPr>
          <w:lang w:val="sv-SE"/>
        </w:rPr>
        <w:t xml:space="preserve">2. Mẫu thẻ giám định viên kỹ thuật hình sự thực hiện theo quy định tại Điều 4 </w:t>
      </w:r>
      <w:r w:rsidR="00EC2ACC">
        <w:rPr>
          <w:lang w:val="sv-SE"/>
        </w:rPr>
        <w:t>Thông tư số 11/2020/TT-BTP ngày 31/12/2020 của Bộ trưởng Bộ Tư pháp quy định về mẫu thẻ, trình tự, thủ tục cấp mới, cấp lại thẻ giám định viên tư pháp (sau đây gọi tắt là Thông tư thẻ Giám định viên)</w:t>
      </w:r>
      <w:r>
        <w:rPr>
          <w:lang w:val="sv-SE"/>
        </w:rPr>
        <w:t>. Đối với nội dung</w:t>
      </w:r>
      <w:r w:rsidR="00EC2ACC">
        <w:rPr>
          <w:lang w:val="sv-SE"/>
        </w:rPr>
        <w:t xml:space="preserve"> điểm h, khoản 3, Điều 4 Thông tư thẻ Giám định viên bổ sung thêm chuyên ngành theo quyết định bổ nhiệm giám định viên.</w:t>
      </w:r>
    </w:p>
    <w:p w:rsidR="00EC2ACC" w:rsidRPr="00E74C1C" w:rsidRDefault="00EC2ACC" w:rsidP="003F1C8D">
      <w:pPr>
        <w:spacing w:before="120"/>
        <w:ind w:firstLine="567"/>
        <w:jc w:val="both"/>
        <w:rPr>
          <w:b/>
          <w:lang w:val="sv-SE"/>
        </w:rPr>
      </w:pPr>
      <w:r>
        <w:rPr>
          <w:b/>
          <w:lang w:val="sv-SE"/>
        </w:rPr>
        <w:t>Điều 9</w:t>
      </w:r>
      <w:r w:rsidRPr="00E74C1C">
        <w:rPr>
          <w:b/>
          <w:lang w:val="sv-SE"/>
        </w:rPr>
        <w:t>. Thẩm quyền, trình tự, thủ tục cấp, cấp lại, thu hồi Thẻ giám định viên kỹ thuật hình sự</w:t>
      </w:r>
    </w:p>
    <w:p w:rsidR="00EC2ACC" w:rsidRDefault="00EC2ACC" w:rsidP="003F1C8D">
      <w:pPr>
        <w:spacing w:before="120"/>
        <w:ind w:firstLine="567"/>
        <w:jc w:val="both"/>
        <w:rPr>
          <w:lang w:val="sv-SE"/>
        </w:rPr>
      </w:pPr>
      <w:r>
        <w:rPr>
          <w:lang w:val="sv-SE"/>
        </w:rPr>
        <w:t>1. Trình tự, thủ tục cấp mới, cấp lại thẻ giám định viên kỹ thuật hình sự thực hiện theo quy định tại Thông tư thẻ Giám định viên.</w:t>
      </w:r>
    </w:p>
    <w:p w:rsidR="00EC2ACC" w:rsidRPr="00EC2ACC" w:rsidRDefault="00EC2ACC" w:rsidP="003F1C8D">
      <w:pPr>
        <w:spacing w:before="120"/>
        <w:ind w:firstLine="567"/>
        <w:jc w:val="both"/>
        <w:rPr>
          <w:spacing w:val="-2"/>
          <w:lang w:val="sv-SE"/>
        </w:rPr>
      </w:pPr>
      <w:r w:rsidRPr="00EC2ACC">
        <w:rPr>
          <w:spacing w:val="-2"/>
          <w:lang w:val="sv-SE"/>
        </w:rPr>
        <w:t xml:space="preserve">2. Bộ trưởng Bộ Công an có thẩm quyền cấp, cấp lại, thu hồi Thẻ giám định viên kỹ thuật hình sự đối với tất cả giám định viên </w:t>
      </w:r>
      <w:r w:rsidRPr="00EC2ACC">
        <w:rPr>
          <w:spacing w:val="-2"/>
        </w:rPr>
        <w:t xml:space="preserve">tư pháp </w:t>
      </w:r>
      <w:r w:rsidRPr="00EC2ACC">
        <w:rPr>
          <w:spacing w:val="-2"/>
          <w:lang w:val="sv-SE"/>
        </w:rPr>
        <w:t>kỹ thuật hình sự.</w:t>
      </w:r>
    </w:p>
    <w:p w:rsidR="00EC2ACC" w:rsidRDefault="00EC2ACC" w:rsidP="003F1C8D">
      <w:pPr>
        <w:spacing w:before="120"/>
        <w:ind w:firstLine="567"/>
        <w:jc w:val="both"/>
        <w:rPr>
          <w:lang w:val="sv-SE"/>
        </w:rPr>
      </w:pPr>
      <w:r>
        <w:rPr>
          <w:lang w:val="sv-SE"/>
        </w:rPr>
        <w:t xml:space="preserve">3. </w:t>
      </w:r>
      <w:r w:rsidRPr="00E74C1C">
        <w:rPr>
          <w:lang w:val="sv-SE"/>
        </w:rPr>
        <w:t xml:space="preserve">Viện khoa học hình sự có trách nhiệm giúp </w:t>
      </w:r>
      <w:r>
        <w:rPr>
          <w:lang w:val="sv-SE"/>
        </w:rPr>
        <w:t>Bộ trưởng Bộ Công an</w:t>
      </w:r>
      <w:r w:rsidRPr="00E74C1C">
        <w:rPr>
          <w:lang w:val="sv-SE"/>
        </w:rPr>
        <w:t xml:space="preserve"> trong việc cấp, cấp lại, thu hồi Thẻ giám định viên kỹ thuật hình sự.</w:t>
      </w:r>
      <w:r>
        <w:rPr>
          <w:lang w:val="sv-SE"/>
        </w:rPr>
        <w:t xml:space="preserve"> Công an cấp tỉnh, </w:t>
      </w:r>
      <w:r>
        <w:rPr>
          <w:lang w:val="sv-SE"/>
        </w:rPr>
        <w:lastRenderedPageBreak/>
        <w:t xml:space="preserve">Phòng Giám định kỹ thuật hình sự thuộc Bộ Quốc phòng, Phòng Giám định kỹ thuật hình sự thuộc Viện kiểm sát nhân dân tối cao có trách nhiệm phối hợp với Viện Khoa học hình sự </w:t>
      </w:r>
      <w:r w:rsidR="00DA2FE1" w:rsidRPr="00E74C1C">
        <w:rPr>
          <w:lang w:val="sv-SE"/>
        </w:rPr>
        <w:t>trong việc cấp, cấp lại, thu hồi Thẻ giám định viên kỹ thuật hình sự</w:t>
      </w:r>
      <w:r w:rsidR="00DA2FE1">
        <w:rPr>
          <w:lang w:val="sv-SE"/>
        </w:rPr>
        <w:t xml:space="preserve"> đối với giám định viên thuộc thẩm quyền quản lý.</w:t>
      </w:r>
    </w:p>
    <w:p w:rsidR="00CE156C" w:rsidRPr="00E74C1C" w:rsidRDefault="00CE156C" w:rsidP="003F1C8D">
      <w:pPr>
        <w:spacing w:before="120"/>
        <w:ind w:firstLine="567"/>
        <w:jc w:val="both"/>
        <w:rPr>
          <w:lang w:val="sv-SE"/>
        </w:rPr>
      </w:pPr>
      <w:r>
        <w:rPr>
          <w:lang w:val="sv-SE"/>
        </w:rPr>
        <w:t>4. Giám định viên kỹ thuật hình sự được bổ nhiệm chuyên ngành thứ hai trở lên đã được cấp thẻ lần đầu thì cấp lại thẻ để bổ sung chuyên ngành giám định. Số thẻ giám định viên được lấy theo số thẻ cấp lần đầu.</w:t>
      </w:r>
    </w:p>
    <w:p w:rsidR="00B876E6" w:rsidRPr="001073C2" w:rsidRDefault="006B1DE9" w:rsidP="003F1C8D">
      <w:pPr>
        <w:spacing w:before="120"/>
        <w:ind w:firstLine="567"/>
        <w:jc w:val="both"/>
        <w:rPr>
          <w:b/>
          <w:lang w:val="sv-SE"/>
        </w:rPr>
      </w:pPr>
      <w:r w:rsidRPr="001073C2">
        <w:rPr>
          <w:b/>
          <w:lang w:val="sv-SE"/>
        </w:rPr>
        <w:t>Điều 10.</w:t>
      </w:r>
      <w:r w:rsidR="001073C2" w:rsidRPr="001073C2">
        <w:rPr>
          <w:b/>
          <w:lang w:val="sv-SE"/>
        </w:rPr>
        <w:t xml:space="preserve"> Lưu hồ sơ</w:t>
      </w:r>
    </w:p>
    <w:p w:rsidR="001073C2" w:rsidRDefault="001073C2" w:rsidP="003F1C8D">
      <w:pPr>
        <w:spacing w:before="120"/>
        <w:ind w:firstLine="567"/>
        <w:jc w:val="both"/>
        <w:rPr>
          <w:lang w:val="sv-SE"/>
        </w:rPr>
      </w:pPr>
      <w:r w:rsidRPr="00D923C3">
        <w:rPr>
          <w:lang w:val="sv-SE"/>
        </w:rPr>
        <w:t xml:space="preserve">Viện Khoa học hình sự, Cục Điều tra hình sự Bộ Quốc phòng, </w:t>
      </w:r>
      <w:r>
        <w:rPr>
          <w:lang w:val="sv-SE"/>
        </w:rPr>
        <w:t xml:space="preserve">Phòng Giám định kỹ thuật hình sự Viện kiểm sát nhân dân tối cao, </w:t>
      </w:r>
      <w:r w:rsidRPr="00D923C3">
        <w:rPr>
          <w:lang w:val="sv-SE"/>
        </w:rPr>
        <w:t xml:space="preserve">Phòng Kỹ thuật hình sự </w:t>
      </w:r>
      <w:r w:rsidR="00A45FB4">
        <w:rPr>
          <w:lang w:val="sv-SE"/>
        </w:rPr>
        <w:t xml:space="preserve">Công an cấp tỉnh </w:t>
      </w:r>
      <w:r w:rsidRPr="00D923C3">
        <w:rPr>
          <w:lang w:val="sv-SE"/>
        </w:rPr>
        <w:t>có trách nhiệm lưu hồ sơ cán bộ đề nghị bổ nhiệm</w:t>
      </w:r>
      <w:r>
        <w:rPr>
          <w:lang w:val="sv-SE"/>
        </w:rPr>
        <w:t>, miễn nhiệm, cấp, cấp lại, thu hồi thẻ</w:t>
      </w:r>
      <w:r w:rsidRPr="00D923C3">
        <w:rPr>
          <w:lang w:val="sv-SE"/>
        </w:rPr>
        <w:t xml:space="preserve"> giám định viên tại đơn vị.</w:t>
      </w:r>
    </w:p>
    <w:p w:rsidR="00FE5DD7" w:rsidRDefault="00FE5DD7" w:rsidP="00FE5DD7">
      <w:pPr>
        <w:ind w:firstLine="567"/>
        <w:jc w:val="both"/>
        <w:rPr>
          <w:lang w:val="sv-SE"/>
        </w:rPr>
      </w:pPr>
    </w:p>
    <w:p w:rsidR="00CE156C" w:rsidRPr="00CE156C" w:rsidRDefault="00CE156C" w:rsidP="00CE156C">
      <w:pPr>
        <w:spacing w:before="120"/>
        <w:jc w:val="center"/>
        <w:rPr>
          <w:b/>
          <w:lang w:val="sv-SE"/>
        </w:rPr>
      </w:pPr>
      <w:r w:rsidRPr="00CE156C">
        <w:rPr>
          <w:b/>
          <w:lang w:val="sv-SE"/>
        </w:rPr>
        <w:t>Chương III</w:t>
      </w:r>
    </w:p>
    <w:p w:rsidR="00CE156C" w:rsidRPr="00AA267A" w:rsidRDefault="00CE156C" w:rsidP="00CE156C">
      <w:pPr>
        <w:jc w:val="center"/>
        <w:rPr>
          <w:b/>
          <w:lang w:val="sv-SE"/>
        </w:rPr>
      </w:pPr>
      <w:r w:rsidRPr="00AA267A">
        <w:rPr>
          <w:b/>
          <w:lang w:val="sv-SE"/>
        </w:rPr>
        <w:t>CHỨC DANH GIÁM ĐỊNH VIÊN, NGƯỜI GIÚP VIỆC</w:t>
      </w:r>
    </w:p>
    <w:p w:rsidR="00CE156C" w:rsidRPr="00AA267A" w:rsidRDefault="00CE156C" w:rsidP="00CE156C">
      <w:pPr>
        <w:jc w:val="center"/>
        <w:rPr>
          <w:b/>
          <w:lang w:val="sv-SE"/>
        </w:rPr>
      </w:pPr>
      <w:r w:rsidRPr="00AA267A">
        <w:rPr>
          <w:b/>
          <w:lang w:val="sv-SE"/>
        </w:rPr>
        <w:t>GIÁM ĐỊNH VIÊN LĨNH VỰC KỸ THUẬT HÌNH SỰ</w:t>
      </w:r>
    </w:p>
    <w:p w:rsidR="00CE156C" w:rsidRPr="00AA267A" w:rsidRDefault="00CE156C" w:rsidP="00CE156C">
      <w:pPr>
        <w:jc w:val="center"/>
        <w:rPr>
          <w:b/>
          <w:lang w:val="sv-SE"/>
        </w:rPr>
      </w:pPr>
      <w:r w:rsidRPr="00AA267A">
        <w:rPr>
          <w:b/>
          <w:lang w:val="sv-SE"/>
        </w:rPr>
        <w:t>VÀ PHÁP Y TRONG CÔNG AN NHÂN DÂN</w:t>
      </w:r>
    </w:p>
    <w:p w:rsidR="00CE156C" w:rsidRPr="00AA267A" w:rsidRDefault="00CE156C" w:rsidP="008B480B">
      <w:pPr>
        <w:spacing w:before="120"/>
        <w:ind w:firstLine="720"/>
        <w:jc w:val="both"/>
        <w:rPr>
          <w:lang w:val="sv-SE"/>
        </w:rPr>
      </w:pPr>
    </w:p>
    <w:p w:rsidR="006B1DE9" w:rsidRPr="00631722" w:rsidRDefault="00CE156C" w:rsidP="00C26E40">
      <w:pPr>
        <w:spacing w:before="120" w:line="242" w:lineRule="auto"/>
        <w:ind w:firstLine="567"/>
        <w:jc w:val="both"/>
        <w:rPr>
          <w:b/>
          <w:lang w:val="sv-SE"/>
        </w:rPr>
      </w:pPr>
      <w:r w:rsidRPr="00631722">
        <w:rPr>
          <w:b/>
          <w:lang w:val="sv-SE"/>
        </w:rPr>
        <w:t xml:space="preserve">Điều 11. </w:t>
      </w:r>
      <w:r w:rsidR="00631722" w:rsidRPr="00631722">
        <w:rPr>
          <w:b/>
          <w:lang w:val="sv-SE"/>
        </w:rPr>
        <w:t>Quy định chung về xét chức danh giám định viên</w:t>
      </w:r>
      <w:r w:rsidR="00631722">
        <w:rPr>
          <w:b/>
          <w:lang w:val="sv-SE"/>
        </w:rPr>
        <w:t xml:space="preserve"> lĩnh vực</w:t>
      </w:r>
      <w:r w:rsidR="00631722" w:rsidRPr="00631722">
        <w:rPr>
          <w:b/>
          <w:lang w:val="sv-SE"/>
        </w:rPr>
        <w:t xml:space="preserve"> kỹ thuật hình sự và pháp y trong Công an nhân dân</w:t>
      </w:r>
    </w:p>
    <w:p w:rsidR="00631722" w:rsidRDefault="00631722" w:rsidP="00C26E40">
      <w:pPr>
        <w:spacing w:before="120" w:line="242" w:lineRule="auto"/>
        <w:ind w:firstLine="567"/>
        <w:jc w:val="both"/>
        <w:rPr>
          <w:lang w:val="sv-SE"/>
        </w:rPr>
      </w:pPr>
      <w:r>
        <w:rPr>
          <w:lang w:val="sv-SE"/>
        </w:rPr>
        <w:t>1. Việc xét chức danh giám định viên lĩnh vực kỹ thuật hình sự và pháp y Công an nhân dân được tính từ sau khi có quyết định bổ nhiệm giám định viên.</w:t>
      </w:r>
    </w:p>
    <w:p w:rsidR="00631722" w:rsidRDefault="00631722" w:rsidP="00C26E40">
      <w:pPr>
        <w:spacing w:before="120" w:line="242" w:lineRule="auto"/>
        <w:ind w:firstLine="567"/>
        <w:jc w:val="both"/>
        <w:rPr>
          <w:lang w:val="sv-SE"/>
        </w:rPr>
      </w:pPr>
      <w:r>
        <w:rPr>
          <w:lang w:val="sv-SE"/>
        </w:rPr>
        <w:t>2. Tuân thủ các quy định của Luật Giám định tư pháp và các văn bản quy phạm pháp luật khác có liên quan.</w:t>
      </w:r>
    </w:p>
    <w:p w:rsidR="00631722" w:rsidRDefault="00631722" w:rsidP="00C26E40">
      <w:pPr>
        <w:spacing w:before="120" w:line="242" w:lineRule="auto"/>
        <w:ind w:firstLine="567"/>
        <w:jc w:val="both"/>
      </w:pPr>
      <w:r>
        <w:rPr>
          <w:lang w:val="sv-SE"/>
        </w:rPr>
        <w:t xml:space="preserve">3. </w:t>
      </w:r>
      <w:r w:rsidRPr="00DD7B71">
        <w:t>Nắm vững chủ trư</w:t>
      </w:r>
      <w:r w:rsidRPr="00DD7B71">
        <w:softHyphen/>
        <w:t>ơng, đư</w:t>
      </w:r>
      <w:r w:rsidRPr="00DD7B71">
        <w:softHyphen/>
        <w:t>ờng lối chính sách của Đảng, pháp luật của Nhà nước, các Chỉ thị, Nghị quyết của ngành liên quan đến chức trách, nhiệm vụ được giao</w:t>
      </w:r>
      <w:r>
        <w:t>.</w:t>
      </w:r>
    </w:p>
    <w:p w:rsidR="00631722" w:rsidRDefault="00631722" w:rsidP="00C26E40">
      <w:pPr>
        <w:spacing w:before="120" w:line="242" w:lineRule="auto"/>
        <w:ind w:firstLine="567"/>
        <w:jc w:val="both"/>
      </w:pPr>
      <w:r>
        <w:t xml:space="preserve">4. </w:t>
      </w:r>
      <w:r w:rsidRPr="00DD7B71">
        <w:t>Có kiến thức nghiệp vụ Công an, am</w:t>
      </w:r>
      <w:r w:rsidR="00A45FB4">
        <w:t xml:space="preserve"> hiểu sâu nghiệp vụ, chuyên môn</w:t>
      </w:r>
      <w:r w:rsidRPr="00DD7B71">
        <w:t xml:space="preserve"> về công </w:t>
      </w:r>
      <w:r w:rsidR="003F1C8D">
        <w:t>tác giám định</w:t>
      </w:r>
      <w:r w:rsidR="007B7987">
        <w:t>.</w:t>
      </w:r>
    </w:p>
    <w:p w:rsidR="003F1C8D" w:rsidRDefault="00631722" w:rsidP="00C26E40">
      <w:pPr>
        <w:spacing w:before="120" w:line="242" w:lineRule="auto"/>
        <w:ind w:firstLine="567"/>
        <w:jc w:val="both"/>
      </w:pPr>
      <w:r>
        <w:t xml:space="preserve">5. </w:t>
      </w:r>
      <w:r w:rsidRPr="00DD7B71">
        <w:t>Có kiến thức cơ bản về tin họ</w:t>
      </w:r>
      <w:r w:rsidR="003F1C8D">
        <w:t>c được cơ quan, tổ chức có thẩm quyền cấp, chứng nhận.</w:t>
      </w:r>
    </w:p>
    <w:p w:rsidR="00375D74" w:rsidRDefault="00375D74" w:rsidP="00C26E40">
      <w:pPr>
        <w:spacing w:before="120" w:line="242" w:lineRule="auto"/>
        <w:ind w:firstLine="567"/>
        <w:jc w:val="both"/>
      </w:pPr>
      <w:r>
        <w:t xml:space="preserve">6. </w:t>
      </w:r>
      <w:r w:rsidRPr="00DD7B71">
        <w:t>Tốt nghiệp các trường Công an</w:t>
      </w:r>
      <w:r w:rsidR="0019602B">
        <w:t xml:space="preserve"> nhân dân</w:t>
      </w:r>
      <w:r w:rsidRPr="00DD7B71">
        <w:t>, nếu học các trường ngoài ngành Công an thì phải được bồi dưỡng nghiệp vụ tại các trường Công an theo quy định của Bộ Công an.</w:t>
      </w:r>
    </w:p>
    <w:p w:rsidR="00C26E40" w:rsidRPr="00C26E40" w:rsidRDefault="00C26E40" w:rsidP="00C26E40">
      <w:pPr>
        <w:spacing w:before="120" w:line="242" w:lineRule="auto"/>
        <w:ind w:firstLine="567"/>
        <w:jc w:val="both"/>
        <w:rPr>
          <w:spacing w:val="-2"/>
        </w:rPr>
      </w:pPr>
      <w:r w:rsidRPr="00C26E40">
        <w:rPr>
          <w:spacing w:val="-2"/>
        </w:rPr>
        <w:t>7. Có tiêu chuẩn về trình độ lý luận chính trị theo quy định của Bộ Công an.</w:t>
      </w:r>
    </w:p>
    <w:p w:rsidR="00375D74" w:rsidRPr="00375D74" w:rsidRDefault="00375D74" w:rsidP="00C26E40">
      <w:pPr>
        <w:spacing w:before="120" w:line="242" w:lineRule="auto"/>
        <w:ind w:firstLine="567"/>
        <w:jc w:val="both"/>
        <w:rPr>
          <w:b/>
          <w:lang w:val="sv-SE"/>
        </w:rPr>
      </w:pPr>
      <w:r w:rsidRPr="00375D74">
        <w:rPr>
          <w:b/>
        </w:rPr>
        <w:t xml:space="preserve">Điều 12. Chức danh </w:t>
      </w:r>
      <w:r w:rsidRPr="00375D74">
        <w:rPr>
          <w:b/>
          <w:lang w:val="sv-SE"/>
        </w:rPr>
        <w:t>giám định viên lĩnh vực kỹ thuật hình sự và pháp y trong Công an nhân dân</w:t>
      </w:r>
      <w:r>
        <w:rPr>
          <w:b/>
          <w:lang w:val="sv-SE"/>
        </w:rPr>
        <w:t xml:space="preserve"> </w:t>
      </w:r>
      <w:r w:rsidR="00C26E40">
        <w:rPr>
          <w:b/>
          <w:lang w:val="sv-SE"/>
        </w:rPr>
        <w:t>sơ cấp</w:t>
      </w:r>
      <w:r>
        <w:rPr>
          <w:b/>
          <w:lang w:val="sv-SE"/>
        </w:rPr>
        <w:t xml:space="preserve"> (sau đây gọi tắt là Giám định viên </w:t>
      </w:r>
      <w:r w:rsidR="00C26E40">
        <w:rPr>
          <w:b/>
          <w:lang w:val="sv-SE"/>
        </w:rPr>
        <w:t>sơ cấp</w:t>
      </w:r>
      <w:r>
        <w:rPr>
          <w:b/>
          <w:lang w:val="sv-SE"/>
        </w:rPr>
        <w:t>)</w:t>
      </w:r>
    </w:p>
    <w:p w:rsidR="00375D74" w:rsidRDefault="0011529A" w:rsidP="00C26E40">
      <w:pPr>
        <w:spacing w:before="120" w:line="242" w:lineRule="auto"/>
        <w:ind w:firstLine="567"/>
        <w:jc w:val="both"/>
        <w:rPr>
          <w:lang w:val="sv-SE"/>
        </w:rPr>
      </w:pPr>
      <w:r>
        <w:rPr>
          <w:lang w:val="sv-SE"/>
        </w:rPr>
        <w:t xml:space="preserve">1. </w:t>
      </w:r>
      <w:r w:rsidR="00797773">
        <w:rPr>
          <w:lang w:val="sv-SE"/>
        </w:rPr>
        <w:t>Đ</w:t>
      </w:r>
      <w:r w:rsidR="00375D74">
        <w:rPr>
          <w:lang w:val="sv-SE"/>
        </w:rPr>
        <w:t>ủ điều kiện theo quy định tại Điều 11 Thông tư này.</w:t>
      </w:r>
    </w:p>
    <w:p w:rsidR="0011529A" w:rsidRDefault="0011529A" w:rsidP="00C26E40">
      <w:pPr>
        <w:spacing w:before="120" w:line="242" w:lineRule="auto"/>
        <w:ind w:firstLine="567"/>
        <w:jc w:val="both"/>
        <w:rPr>
          <w:lang w:val="sv-SE"/>
        </w:rPr>
      </w:pPr>
      <w:r>
        <w:rPr>
          <w:lang w:val="sv-SE"/>
        </w:rPr>
        <w:t xml:space="preserve">2. Đã </w:t>
      </w:r>
      <w:r w:rsidR="00D0524A">
        <w:rPr>
          <w:lang w:val="sv-SE"/>
        </w:rPr>
        <w:t>có quyết định</w:t>
      </w:r>
      <w:r>
        <w:rPr>
          <w:lang w:val="sv-SE"/>
        </w:rPr>
        <w:t xml:space="preserve"> bổ nhiệm giám định viên </w:t>
      </w:r>
      <w:r w:rsidR="00D0524A">
        <w:rPr>
          <w:lang w:val="sv-SE"/>
        </w:rPr>
        <w:t xml:space="preserve">của </w:t>
      </w:r>
      <w:r w:rsidR="005941D6">
        <w:rPr>
          <w:lang w:val="sv-SE"/>
        </w:rPr>
        <w:t>các cấp có thẩm quyền</w:t>
      </w:r>
      <w:r>
        <w:rPr>
          <w:lang w:val="sv-SE"/>
        </w:rPr>
        <w:t>.</w:t>
      </w:r>
    </w:p>
    <w:p w:rsidR="00375D74" w:rsidRPr="00375D74" w:rsidRDefault="00375D74" w:rsidP="00C26E40">
      <w:pPr>
        <w:spacing w:before="120" w:line="242" w:lineRule="auto"/>
        <w:ind w:firstLine="567"/>
        <w:jc w:val="both"/>
        <w:rPr>
          <w:b/>
          <w:lang w:val="sv-SE"/>
        </w:rPr>
      </w:pPr>
      <w:r w:rsidRPr="00375D74">
        <w:rPr>
          <w:b/>
          <w:lang w:val="sv-SE"/>
        </w:rPr>
        <w:lastRenderedPageBreak/>
        <w:t xml:space="preserve">Điều 13. </w:t>
      </w:r>
      <w:r w:rsidRPr="00375D74">
        <w:rPr>
          <w:b/>
        </w:rPr>
        <w:t xml:space="preserve">Chức danh </w:t>
      </w:r>
      <w:r w:rsidRPr="00375D74">
        <w:rPr>
          <w:b/>
          <w:lang w:val="sv-SE"/>
        </w:rPr>
        <w:t>giám định viên lĩnh vực kỹ thuật hình sự và pháp y trong Công an nhân dân</w:t>
      </w:r>
      <w:r>
        <w:rPr>
          <w:b/>
          <w:lang w:val="sv-SE"/>
        </w:rPr>
        <w:t xml:space="preserve"> </w:t>
      </w:r>
      <w:r w:rsidR="00C26E40">
        <w:rPr>
          <w:b/>
          <w:lang w:val="sv-SE"/>
        </w:rPr>
        <w:t>trung cấp</w:t>
      </w:r>
      <w:r>
        <w:rPr>
          <w:b/>
          <w:lang w:val="sv-SE"/>
        </w:rPr>
        <w:t xml:space="preserve"> (sau đây gọi tắt là Giám định viên </w:t>
      </w:r>
      <w:r w:rsidR="00C26E40">
        <w:rPr>
          <w:b/>
          <w:lang w:val="sv-SE"/>
        </w:rPr>
        <w:t>trung cấp</w:t>
      </w:r>
      <w:r>
        <w:rPr>
          <w:b/>
          <w:lang w:val="sv-SE"/>
        </w:rPr>
        <w:t>)</w:t>
      </w:r>
    </w:p>
    <w:p w:rsidR="00375D74" w:rsidRDefault="0011529A" w:rsidP="00C26E40">
      <w:pPr>
        <w:spacing w:before="120" w:line="242" w:lineRule="auto"/>
        <w:ind w:firstLine="567"/>
        <w:jc w:val="both"/>
        <w:rPr>
          <w:lang w:val="sv-SE"/>
        </w:rPr>
      </w:pPr>
      <w:r>
        <w:rPr>
          <w:lang w:val="sv-SE"/>
        </w:rPr>
        <w:t xml:space="preserve">1. </w:t>
      </w:r>
      <w:r w:rsidR="00797773">
        <w:rPr>
          <w:lang w:val="sv-SE"/>
        </w:rPr>
        <w:t>Đ</w:t>
      </w:r>
      <w:r>
        <w:rPr>
          <w:lang w:val="sv-SE"/>
        </w:rPr>
        <w:t>ủ điều kiện theo quy định tại Điều 11 Thông tư này.</w:t>
      </w:r>
    </w:p>
    <w:p w:rsidR="0011529A" w:rsidRDefault="0011529A" w:rsidP="00C26E40">
      <w:pPr>
        <w:spacing w:before="120" w:line="242" w:lineRule="auto"/>
        <w:ind w:firstLine="567"/>
        <w:jc w:val="both"/>
      </w:pPr>
      <w:r>
        <w:rPr>
          <w:lang w:val="sv-SE"/>
        </w:rPr>
        <w:t xml:space="preserve">2. Được bổ nhiệm Giám định viên </w:t>
      </w:r>
      <w:r w:rsidR="00C26E40">
        <w:rPr>
          <w:lang w:val="sv-SE"/>
        </w:rPr>
        <w:t>sơ cấp</w:t>
      </w:r>
      <w:r>
        <w:rPr>
          <w:lang w:val="sv-SE"/>
        </w:rPr>
        <w:t xml:space="preserve"> từ 0</w:t>
      </w:r>
      <w:r w:rsidR="00D0524A">
        <w:rPr>
          <w:lang w:val="sv-SE"/>
        </w:rPr>
        <w:t>8</w:t>
      </w:r>
      <w:r>
        <w:rPr>
          <w:lang w:val="sv-SE"/>
        </w:rPr>
        <w:t xml:space="preserve"> năm trở lên. Trường hợp </w:t>
      </w:r>
      <w:r w:rsidR="00200F20">
        <w:t>chưa được bổ nhiệm G</w:t>
      </w:r>
      <w:r w:rsidRPr="00DD7B71">
        <w:t xml:space="preserve">iám định viên tư pháp </w:t>
      </w:r>
      <w:r w:rsidR="00C26E40">
        <w:t>sơ cấp</w:t>
      </w:r>
      <w:r w:rsidRPr="00DD7B71">
        <w:t xml:space="preserve"> phải có thời gian là giám định viên tư</w:t>
      </w:r>
      <w:r>
        <w:t xml:space="preserve"> pháp </w:t>
      </w:r>
      <w:r w:rsidR="00F31204">
        <w:t>08</w:t>
      </w:r>
      <w:r>
        <w:t xml:space="preserve"> năm trở lên.</w:t>
      </w:r>
    </w:p>
    <w:p w:rsidR="005941D6" w:rsidRPr="00C26E40" w:rsidRDefault="00C26E40" w:rsidP="00C26E40">
      <w:pPr>
        <w:spacing w:before="120" w:line="242" w:lineRule="auto"/>
        <w:ind w:firstLine="567"/>
        <w:jc w:val="both"/>
        <w:rPr>
          <w:spacing w:val="-2"/>
        </w:rPr>
      </w:pPr>
      <w:r w:rsidRPr="00C26E40">
        <w:rPr>
          <w:spacing w:val="-2"/>
        </w:rPr>
        <w:t>3</w:t>
      </w:r>
      <w:r w:rsidR="005941D6" w:rsidRPr="00C26E40">
        <w:rPr>
          <w:spacing w:val="-2"/>
        </w:rPr>
        <w:t xml:space="preserve">. Có chứng chỉ đã qua đào tạo hoặc bồi dưỡng về nghiệp vụ giám định </w:t>
      </w:r>
      <w:r w:rsidRPr="00C26E40">
        <w:rPr>
          <w:spacing w:val="-2"/>
        </w:rPr>
        <w:t>viên trung cấp</w:t>
      </w:r>
      <w:r w:rsidR="005941D6" w:rsidRPr="00C26E40">
        <w:rPr>
          <w:spacing w:val="-2"/>
        </w:rPr>
        <w:t xml:space="preserve"> ở chuyên ngành giám định của Viện trưởng Viện Khoa học hình sự.</w:t>
      </w:r>
    </w:p>
    <w:p w:rsidR="00784A4B" w:rsidRDefault="00C26E40" w:rsidP="00C26E40">
      <w:pPr>
        <w:spacing w:before="120" w:line="242" w:lineRule="auto"/>
        <w:ind w:firstLine="567"/>
        <w:jc w:val="both"/>
      </w:pPr>
      <w:r>
        <w:t>4</w:t>
      </w:r>
      <w:r w:rsidR="00784A4B">
        <w:t xml:space="preserve">. </w:t>
      </w:r>
      <w:r w:rsidR="00784A4B" w:rsidRPr="00DD7B71">
        <w:t>Thực hiện việc tổng kết một số chuy</w:t>
      </w:r>
      <w:r w:rsidR="00784A4B">
        <w:t xml:space="preserve">ên đề thuộc lĩnh vực được giao </w:t>
      </w:r>
      <w:r w:rsidR="00784A4B" w:rsidRPr="00DD7B71">
        <w:t>có liên quan đến chức trách, nhiệm vụ nhằm đúc kết kinh nghiệm, cải tiến phương pháp quản lý, nâng cao hiệu quả công tác.</w:t>
      </w:r>
    </w:p>
    <w:p w:rsidR="0011529A" w:rsidRPr="00AA267A" w:rsidRDefault="0011529A" w:rsidP="00C26E40">
      <w:pPr>
        <w:spacing w:before="120" w:line="242" w:lineRule="auto"/>
        <w:ind w:firstLine="567"/>
        <w:jc w:val="both"/>
        <w:rPr>
          <w:b/>
          <w:spacing w:val="-2"/>
          <w:lang w:val="sv-SE"/>
        </w:rPr>
      </w:pPr>
      <w:r w:rsidRPr="00AA267A">
        <w:rPr>
          <w:b/>
          <w:spacing w:val="-2"/>
        </w:rPr>
        <w:t>Điều 14.</w:t>
      </w:r>
      <w:r w:rsidRPr="00AA267A">
        <w:rPr>
          <w:spacing w:val="-2"/>
        </w:rPr>
        <w:t xml:space="preserve"> </w:t>
      </w:r>
      <w:r w:rsidRPr="00AA267A">
        <w:rPr>
          <w:b/>
          <w:spacing w:val="-2"/>
        </w:rPr>
        <w:t xml:space="preserve">Chức danh </w:t>
      </w:r>
      <w:r w:rsidRPr="00AA267A">
        <w:rPr>
          <w:b/>
          <w:spacing w:val="-2"/>
          <w:lang w:val="sv-SE"/>
        </w:rPr>
        <w:t xml:space="preserve">giám định viên lĩnh vực kỹ thuật hình sự và pháp y trong Công an nhân dân </w:t>
      </w:r>
      <w:r w:rsidR="00C26E40">
        <w:rPr>
          <w:b/>
          <w:spacing w:val="-2"/>
          <w:lang w:val="sv-SE"/>
        </w:rPr>
        <w:t>cao cấp</w:t>
      </w:r>
      <w:r w:rsidRPr="00AA267A">
        <w:rPr>
          <w:b/>
          <w:spacing w:val="-2"/>
          <w:lang w:val="sv-SE"/>
        </w:rPr>
        <w:t xml:space="preserve"> (sau đây gọi tắt là Giám định viên </w:t>
      </w:r>
      <w:r w:rsidR="00C26E40">
        <w:rPr>
          <w:b/>
          <w:spacing w:val="-2"/>
          <w:lang w:val="sv-SE"/>
        </w:rPr>
        <w:t>cao cấp</w:t>
      </w:r>
      <w:r w:rsidRPr="00AA267A">
        <w:rPr>
          <w:b/>
          <w:spacing w:val="-2"/>
          <w:lang w:val="sv-SE"/>
        </w:rPr>
        <w:t>)</w:t>
      </w:r>
    </w:p>
    <w:p w:rsidR="0011529A" w:rsidRDefault="0011529A" w:rsidP="00C26E40">
      <w:pPr>
        <w:spacing w:before="120" w:line="242" w:lineRule="auto"/>
        <w:ind w:firstLine="567"/>
        <w:jc w:val="both"/>
        <w:rPr>
          <w:lang w:val="sv-SE"/>
        </w:rPr>
      </w:pPr>
      <w:r>
        <w:rPr>
          <w:lang w:val="sv-SE"/>
        </w:rPr>
        <w:t xml:space="preserve">1. </w:t>
      </w:r>
      <w:r w:rsidR="00797773">
        <w:rPr>
          <w:lang w:val="sv-SE"/>
        </w:rPr>
        <w:t>Đ</w:t>
      </w:r>
      <w:r>
        <w:rPr>
          <w:lang w:val="sv-SE"/>
        </w:rPr>
        <w:t>ủ điều kiện theo quy định tại Điều 11 Thông tư này.</w:t>
      </w:r>
    </w:p>
    <w:p w:rsidR="0011529A" w:rsidRDefault="0011529A" w:rsidP="00C26E40">
      <w:pPr>
        <w:spacing w:before="120" w:line="242" w:lineRule="auto"/>
        <w:ind w:firstLine="567"/>
        <w:jc w:val="both"/>
      </w:pPr>
      <w:r>
        <w:rPr>
          <w:lang w:val="sv-SE"/>
        </w:rPr>
        <w:t xml:space="preserve">2. Được bổ nhiệm Giám định viên </w:t>
      </w:r>
      <w:r w:rsidR="00C26E40">
        <w:rPr>
          <w:lang w:val="sv-SE"/>
        </w:rPr>
        <w:t>trung cấp</w:t>
      </w:r>
      <w:r>
        <w:rPr>
          <w:lang w:val="sv-SE"/>
        </w:rPr>
        <w:t xml:space="preserve"> từ </w:t>
      </w:r>
      <w:r w:rsidR="00C26E40">
        <w:rPr>
          <w:lang w:val="sv-SE"/>
        </w:rPr>
        <w:t>08</w:t>
      </w:r>
      <w:r>
        <w:rPr>
          <w:lang w:val="sv-SE"/>
        </w:rPr>
        <w:t xml:space="preserve"> năm trở lên. Trường hợp </w:t>
      </w:r>
      <w:r w:rsidR="00200F20">
        <w:t>chưa được bổ nhiệm G</w:t>
      </w:r>
      <w:r w:rsidRPr="00DD7B71">
        <w:t xml:space="preserve">iám định viên tư pháp </w:t>
      </w:r>
      <w:r w:rsidR="00C26E40">
        <w:t>trung cấp</w:t>
      </w:r>
      <w:r w:rsidRPr="00DD7B71">
        <w:t xml:space="preserve"> phải có thời gian là giám định viên tư</w:t>
      </w:r>
      <w:r>
        <w:t xml:space="preserve"> pháp </w:t>
      </w:r>
      <w:r w:rsidR="00F31204">
        <w:t>16</w:t>
      </w:r>
      <w:r>
        <w:t xml:space="preserve"> năm trở lên.</w:t>
      </w:r>
    </w:p>
    <w:p w:rsidR="00FE5DD7" w:rsidRDefault="00C26E40" w:rsidP="00C26E40">
      <w:pPr>
        <w:spacing w:before="120" w:line="242" w:lineRule="auto"/>
        <w:ind w:firstLine="567"/>
        <w:jc w:val="both"/>
      </w:pPr>
      <w:r>
        <w:t>3</w:t>
      </w:r>
      <w:r w:rsidR="00FE5DD7">
        <w:t>. Có trình độ thạc sĩ trở lên</w:t>
      </w:r>
      <w:r w:rsidR="003F1C8D">
        <w:t xml:space="preserve"> thuộc các chuyên ngành được bổ nhiệm giám định viên</w:t>
      </w:r>
      <w:r w:rsidR="00FE5DD7">
        <w:t>.</w:t>
      </w:r>
    </w:p>
    <w:p w:rsidR="00FE5DD7" w:rsidRPr="00C26E40" w:rsidRDefault="00C26E40" w:rsidP="00C26E40">
      <w:pPr>
        <w:spacing w:before="120" w:line="242" w:lineRule="auto"/>
        <w:ind w:firstLine="567"/>
        <w:jc w:val="both"/>
        <w:rPr>
          <w:spacing w:val="-2"/>
        </w:rPr>
      </w:pPr>
      <w:r w:rsidRPr="00C26E40">
        <w:rPr>
          <w:spacing w:val="-2"/>
        </w:rPr>
        <w:t>4</w:t>
      </w:r>
      <w:r w:rsidR="00FE5DD7" w:rsidRPr="00C26E40">
        <w:rPr>
          <w:spacing w:val="-2"/>
        </w:rPr>
        <w:t>. Có chứng chỉ đã qua đào tạo hoặc bồi dưỡng về nghiệp vụ giám định</w:t>
      </w:r>
      <w:r w:rsidRPr="00C26E40">
        <w:rPr>
          <w:spacing w:val="-2"/>
        </w:rPr>
        <w:t xml:space="preserve"> viên</w:t>
      </w:r>
      <w:r w:rsidR="00FE5DD7" w:rsidRPr="00C26E40">
        <w:rPr>
          <w:spacing w:val="-2"/>
        </w:rPr>
        <w:t xml:space="preserve"> </w:t>
      </w:r>
      <w:r w:rsidRPr="00C26E40">
        <w:rPr>
          <w:spacing w:val="-2"/>
        </w:rPr>
        <w:t>cao cấp</w:t>
      </w:r>
      <w:r w:rsidR="00FE5DD7" w:rsidRPr="00C26E40">
        <w:rPr>
          <w:spacing w:val="-2"/>
        </w:rPr>
        <w:t xml:space="preserve"> ở chuyên ngành giám định của Viện trưởng Viện Khoa học hình sự.</w:t>
      </w:r>
    </w:p>
    <w:p w:rsidR="0011529A" w:rsidRDefault="00C26E40" w:rsidP="00C26E40">
      <w:pPr>
        <w:spacing w:before="120" w:line="242" w:lineRule="auto"/>
        <w:ind w:firstLine="567"/>
        <w:jc w:val="both"/>
      </w:pPr>
      <w:r>
        <w:t>5</w:t>
      </w:r>
      <w:r w:rsidR="0011529A">
        <w:t xml:space="preserve">. </w:t>
      </w:r>
      <w:r w:rsidR="0011529A" w:rsidRPr="00DD7B71">
        <w:t xml:space="preserve">Thực hiện việc tổng kết một số chuyên đề thuộc lĩnh vực được giao, tham gia nghiên cứu những đề tài khoa học </w:t>
      </w:r>
      <w:r w:rsidR="0011529A">
        <w:t xml:space="preserve">cấp </w:t>
      </w:r>
      <w:r w:rsidR="003F1C8D">
        <w:t>cơ sở</w:t>
      </w:r>
      <w:r w:rsidR="00916DEE">
        <w:t xml:space="preserve"> trở lên</w:t>
      </w:r>
      <w:r w:rsidR="0011529A">
        <w:t xml:space="preserve"> </w:t>
      </w:r>
      <w:r w:rsidR="0011529A" w:rsidRPr="00DD7B71">
        <w:t>có liên quan đến chức trách, nhiệm vụ nhằm đúc kết kinh nghiệm, cải tiến phương pháp quản lý, nâng cao hiệu quả công tác.</w:t>
      </w:r>
    </w:p>
    <w:p w:rsidR="00916DEE" w:rsidRPr="00916DEE" w:rsidRDefault="00916DEE" w:rsidP="00BE7F3B">
      <w:pPr>
        <w:spacing w:before="120" w:line="252" w:lineRule="auto"/>
        <w:ind w:firstLine="567"/>
        <w:jc w:val="both"/>
        <w:rPr>
          <w:b/>
        </w:rPr>
      </w:pPr>
      <w:r w:rsidRPr="00916DEE">
        <w:rPr>
          <w:b/>
        </w:rPr>
        <w:t>Điều 15. Chức danh người giúp việc giám định viên lĩnh vực kỹ thuật hình sự và pháp y trong Công an nhân dân</w:t>
      </w:r>
    </w:p>
    <w:p w:rsidR="00916DEE" w:rsidRDefault="00916DEE" w:rsidP="00BE7F3B">
      <w:pPr>
        <w:spacing w:before="120" w:line="252" w:lineRule="auto"/>
        <w:ind w:firstLine="567"/>
        <w:jc w:val="both"/>
      </w:pPr>
      <w:r>
        <w:t xml:space="preserve">1. Người giúp việc giám định viên lĩnh vực kỹ thuật hình sự và pháp y trong </w:t>
      </w:r>
      <w:r w:rsidR="004B5BB8">
        <w:t>Công an nhân dân bao gồm trợ lý</w:t>
      </w:r>
      <w:r>
        <w:t>, kỹ thuật viên, y công</w:t>
      </w:r>
      <w:r w:rsidR="004B5BB8">
        <w:t xml:space="preserve"> (sau đây g</w:t>
      </w:r>
      <w:r w:rsidR="00200F20">
        <w:t>ọi quy định chung là chức danh T</w:t>
      </w:r>
      <w:r w:rsidR="004B5BB8">
        <w:t>rợ lý giám định).</w:t>
      </w:r>
    </w:p>
    <w:p w:rsidR="004B5BB8" w:rsidRDefault="004B5BB8" w:rsidP="00BE7F3B">
      <w:pPr>
        <w:spacing w:before="120" w:line="252" w:lineRule="auto"/>
        <w:ind w:firstLine="567"/>
        <w:jc w:val="both"/>
      </w:pPr>
      <w:r>
        <w:t xml:space="preserve">2. Người được bổ nhiệm chức danh </w:t>
      </w:r>
      <w:r w:rsidR="00200F20">
        <w:t>T</w:t>
      </w:r>
      <w:r>
        <w:t>rợ lý giám định phải đảm bảo các điều kiện sau:</w:t>
      </w:r>
    </w:p>
    <w:p w:rsidR="00282267" w:rsidRDefault="00282267" w:rsidP="00BE7F3B">
      <w:pPr>
        <w:spacing w:before="120" w:line="252" w:lineRule="auto"/>
        <w:ind w:firstLine="567"/>
        <w:jc w:val="both"/>
      </w:pPr>
      <w:r>
        <w:t xml:space="preserve">a) Nắm rõ các </w:t>
      </w:r>
      <w:r>
        <w:rPr>
          <w:lang w:val="sv-SE"/>
        </w:rPr>
        <w:t>quy định của Luật Giám định tư pháp và các văn bản quy phạm pháp luật khác có liên quan đến hoạt động giám định.</w:t>
      </w:r>
    </w:p>
    <w:p w:rsidR="004B5BB8" w:rsidRDefault="00FE5DD7" w:rsidP="00BE7F3B">
      <w:pPr>
        <w:spacing w:before="120" w:line="252" w:lineRule="auto"/>
        <w:ind w:firstLine="567"/>
        <w:jc w:val="both"/>
      </w:pPr>
      <w:r>
        <w:t>b</w:t>
      </w:r>
      <w:r w:rsidR="004B5BB8">
        <w:t xml:space="preserve">) Tốt nghiệp đại học trở lên </w:t>
      </w:r>
      <w:r w:rsidR="0019602B" w:rsidRPr="008B480B">
        <w:t>được công nhận tại Việt Nam theo quy định của pháp luật về giáo dục và điều ước quốc tế mà nước Cộng hòa xã hội chủ nghĩa Việt Nam ký kết hoặc gia nhập</w:t>
      </w:r>
      <w:r w:rsidR="0019602B">
        <w:t xml:space="preserve"> theo chuyên ngành, lĩnh vực được đề nghị bổ nhiệm </w:t>
      </w:r>
      <w:r w:rsidR="007B7987">
        <w:t>trợ lý giám định</w:t>
      </w:r>
      <w:r w:rsidR="0019602B">
        <w:t>.</w:t>
      </w:r>
    </w:p>
    <w:p w:rsidR="00FE5DD7" w:rsidRPr="00784A4B" w:rsidRDefault="003F1C8D" w:rsidP="00BE7F3B">
      <w:pPr>
        <w:spacing w:before="120" w:line="252" w:lineRule="auto"/>
        <w:ind w:firstLine="567"/>
        <w:jc w:val="both"/>
      </w:pPr>
      <w:r w:rsidRPr="00784A4B">
        <w:lastRenderedPageBreak/>
        <w:t>c</w:t>
      </w:r>
      <w:r w:rsidR="00FE5DD7" w:rsidRPr="00784A4B">
        <w:t xml:space="preserve">) Có chứng chỉ đã qua đào tạo hoặc bồi dưỡng về nghiệp vụ chung về kỹ thuật hình sự và pháp y Công an nhân dân </w:t>
      </w:r>
      <w:r w:rsidR="00784A4B" w:rsidRPr="00784A4B">
        <w:t>do</w:t>
      </w:r>
      <w:r w:rsidR="00FE5DD7" w:rsidRPr="00784A4B">
        <w:t xml:space="preserve"> Viện trưởng Viện Khoa học hình sự</w:t>
      </w:r>
      <w:r w:rsidR="00784A4B" w:rsidRPr="00784A4B">
        <w:t xml:space="preserve"> cấp</w:t>
      </w:r>
      <w:r w:rsidR="00FE5DD7" w:rsidRPr="00784A4B">
        <w:t>.</w:t>
      </w:r>
    </w:p>
    <w:p w:rsidR="0019602B" w:rsidRPr="00282267" w:rsidRDefault="00282267" w:rsidP="00BE7F3B">
      <w:pPr>
        <w:spacing w:before="120" w:line="252" w:lineRule="auto"/>
        <w:ind w:firstLine="567"/>
        <w:jc w:val="both"/>
        <w:rPr>
          <w:b/>
        </w:rPr>
      </w:pPr>
      <w:r w:rsidRPr="00282267">
        <w:rPr>
          <w:b/>
        </w:rPr>
        <w:t>Điều 16. Thẩm quyền, trình tự, thủ tục bổ nhiệm các chức danh</w:t>
      </w:r>
    </w:p>
    <w:p w:rsidR="00282267" w:rsidRDefault="00282267" w:rsidP="00BE7F3B">
      <w:pPr>
        <w:spacing w:before="120" w:line="252" w:lineRule="auto"/>
        <w:ind w:firstLine="567"/>
        <w:jc w:val="both"/>
      </w:pPr>
      <w:r>
        <w:t>1. Bộ trưởng Bộ Côn</w:t>
      </w:r>
      <w:r w:rsidR="00200F20">
        <w:t>g an bổ nhiệm chức danh G</w:t>
      </w:r>
      <w:r>
        <w:t>iám định viên</w:t>
      </w:r>
      <w:r w:rsidR="00200F20">
        <w:t xml:space="preserve"> </w:t>
      </w:r>
      <w:r w:rsidR="00BE7F3B">
        <w:t>cao cấp</w:t>
      </w:r>
      <w:r w:rsidR="00200F20">
        <w:t xml:space="preserve"> đối với giám định viên kỹ thuật hình sự và pháp y trong Công an nhân dân. Viện Khoa học hình sự có trách nhiệm</w:t>
      </w:r>
      <w:r w:rsidR="001D0BF3">
        <w:t xml:space="preserve"> chủ trì, phối hợp với Cục Tổ chức cán bộ</w:t>
      </w:r>
      <w:r w:rsidR="00200F20">
        <w:t xml:space="preserve"> giúp Bộ trưởng Bộ Công an tập hợp hồ sơ đề nghị bổ nhiệm </w:t>
      </w:r>
      <w:r w:rsidR="001D0BF3">
        <w:t>chức danh của giám định viên</w:t>
      </w:r>
      <w:r w:rsidR="00FE5DD7">
        <w:t xml:space="preserve"> </w:t>
      </w:r>
      <w:r w:rsidR="00BE7F3B">
        <w:t>cao cấp</w:t>
      </w:r>
      <w:r w:rsidR="001D0BF3">
        <w:t xml:space="preserve"> thuộc Viện Khoa học hình sự và Công an cấp tỉnh.</w:t>
      </w:r>
    </w:p>
    <w:p w:rsidR="001D0BF3" w:rsidRPr="00784A4B" w:rsidRDefault="001D0BF3" w:rsidP="00BE7F3B">
      <w:pPr>
        <w:spacing w:before="120" w:line="252" w:lineRule="auto"/>
        <w:ind w:firstLine="567"/>
        <w:jc w:val="both"/>
        <w:rPr>
          <w:spacing w:val="2"/>
        </w:rPr>
      </w:pPr>
      <w:r w:rsidRPr="00784A4B">
        <w:rPr>
          <w:spacing w:val="2"/>
        </w:rPr>
        <w:t xml:space="preserve">2. Viện trưởng Viện Khoa học hình sự bổ nhiệm chức danh Giám định viên </w:t>
      </w:r>
      <w:r w:rsidR="00BE7F3B">
        <w:rPr>
          <w:spacing w:val="2"/>
        </w:rPr>
        <w:t>trung cấp</w:t>
      </w:r>
      <w:r w:rsidRPr="00784A4B">
        <w:rPr>
          <w:spacing w:val="2"/>
        </w:rPr>
        <w:t xml:space="preserve">, Giám định viên </w:t>
      </w:r>
      <w:r w:rsidR="00BE7F3B">
        <w:rPr>
          <w:spacing w:val="2"/>
        </w:rPr>
        <w:t>sơ cấp</w:t>
      </w:r>
      <w:r w:rsidRPr="00784A4B">
        <w:rPr>
          <w:spacing w:val="2"/>
        </w:rPr>
        <w:t xml:space="preserve"> và Trợ lý giám định đối với giám định viên</w:t>
      </w:r>
      <w:r w:rsidR="007B7987" w:rsidRPr="00784A4B">
        <w:rPr>
          <w:spacing w:val="2"/>
        </w:rPr>
        <w:t>, trợ lý giám định</w:t>
      </w:r>
      <w:r w:rsidRPr="00784A4B">
        <w:rPr>
          <w:spacing w:val="2"/>
        </w:rPr>
        <w:t xml:space="preserve"> thuộc Viện Khoa học hình sự. Giám đốc Công an cấp tỉnh bổ nhiệm chức danh Giám định viên </w:t>
      </w:r>
      <w:r w:rsidR="00BE7F3B">
        <w:rPr>
          <w:spacing w:val="2"/>
        </w:rPr>
        <w:t>trung cấp</w:t>
      </w:r>
      <w:r w:rsidR="00BE7F3B" w:rsidRPr="00784A4B">
        <w:rPr>
          <w:spacing w:val="2"/>
        </w:rPr>
        <w:t xml:space="preserve">, Giám định viên </w:t>
      </w:r>
      <w:r w:rsidR="00BE7F3B">
        <w:rPr>
          <w:spacing w:val="2"/>
        </w:rPr>
        <w:t>sơ cấp</w:t>
      </w:r>
      <w:r w:rsidR="00BE7F3B" w:rsidRPr="00784A4B">
        <w:rPr>
          <w:spacing w:val="2"/>
        </w:rPr>
        <w:t xml:space="preserve"> </w:t>
      </w:r>
      <w:r w:rsidRPr="00784A4B">
        <w:rPr>
          <w:spacing w:val="2"/>
        </w:rPr>
        <w:t>và Trợ lý giám định đối với giám định viên</w:t>
      </w:r>
      <w:r w:rsidR="007B7987" w:rsidRPr="00784A4B">
        <w:rPr>
          <w:spacing w:val="2"/>
        </w:rPr>
        <w:t>, trợ lý giám định</w:t>
      </w:r>
      <w:r w:rsidRPr="00784A4B">
        <w:rPr>
          <w:spacing w:val="2"/>
        </w:rPr>
        <w:t xml:space="preserve"> thuộc Phòng Kỹ thuật hình sự</w:t>
      </w:r>
      <w:r w:rsidR="003F1C8D" w:rsidRPr="00784A4B">
        <w:rPr>
          <w:spacing w:val="2"/>
        </w:rPr>
        <w:t xml:space="preserve"> Công an cấp tỉnh</w:t>
      </w:r>
      <w:r w:rsidRPr="00784A4B">
        <w:rPr>
          <w:spacing w:val="2"/>
        </w:rPr>
        <w:t>.</w:t>
      </w:r>
    </w:p>
    <w:p w:rsidR="001D0BF3" w:rsidRDefault="001D0BF3" w:rsidP="00BE7F3B">
      <w:pPr>
        <w:spacing w:before="120" w:line="252" w:lineRule="auto"/>
        <w:ind w:firstLine="567"/>
        <w:jc w:val="both"/>
      </w:pPr>
      <w:r>
        <w:t>3. Hồ sơ đề nghị bổ nhiệm chức danh gồm các văn bản sau:</w:t>
      </w:r>
    </w:p>
    <w:p w:rsidR="001D0BF3" w:rsidRDefault="001D0BF3" w:rsidP="00BE7F3B">
      <w:pPr>
        <w:spacing w:before="120" w:line="252" w:lineRule="auto"/>
        <w:ind w:firstLine="567"/>
        <w:jc w:val="both"/>
      </w:pPr>
      <w:r>
        <w:t>a) Đơn đề nghị của đơn vị quản lý trực tiếp cán bộ được đề nghị bổ nhiệm chức danh.</w:t>
      </w:r>
    </w:p>
    <w:p w:rsidR="001D0BF3" w:rsidRDefault="001D0BF3" w:rsidP="00BE7F3B">
      <w:pPr>
        <w:spacing w:before="120" w:line="252" w:lineRule="auto"/>
        <w:ind w:firstLine="567"/>
        <w:jc w:val="both"/>
      </w:pPr>
      <w:r>
        <w:t xml:space="preserve">b) </w:t>
      </w:r>
      <w:r w:rsidR="00715A48">
        <w:t>Quyết định bổ nhiệm giám định viên đối với chức danh giám định viên hoặc quyết định phân công công tác đối với chức danh trợ lý giám định.</w:t>
      </w:r>
    </w:p>
    <w:p w:rsidR="00715A48" w:rsidRDefault="00715A48" w:rsidP="00BE7F3B">
      <w:pPr>
        <w:spacing w:before="120" w:line="252" w:lineRule="auto"/>
        <w:ind w:firstLine="567"/>
        <w:jc w:val="both"/>
      </w:pPr>
      <w:r>
        <w:t>c) Giấy xác nhận thời gian công tác, trực tiếp thực hiện công tác giám định.</w:t>
      </w:r>
    </w:p>
    <w:p w:rsidR="00715A48" w:rsidRDefault="00715A48" w:rsidP="00BE7F3B">
      <w:pPr>
        <w:spacing w:before="120" w:line="252" w:lineRule="auto"/>
        <w:ind w:firstLine="567"/>
        <w:jc w:val="both"/>
      </w:pPr>
      <w:r>
        <w:t>d) Các giấy tờ khác theo quy định tại Điều 11, Điều 12, Điều 13, Điều 14, Điều 15 Thông tư này.</w:t>
      </w:r>
    </w:p>
    <w:p w:rsidR="00A45FB4" w:rsidRDefault="00A45FB4" w:rsidP="00715A48">
      <w:pPr>
        <w:ind w:firstLine="567"/>
        <w:jc w:val="both"/>
      </w:pPr>
    </w:p>
    <w:p w:rsidR="00715A48" w:rsidRPr="00715A48" w:rsidRDefault="00715A48" w:rsidP="00715A48">
      <w:pPr>
        <w:jc w:val="center"/>
        <w:rPr>
          <w:b/>
        </w:rPr>
      </w:pPr>
      <w:r w:rsidRPr="00715A48">
        <w:rPr>
          <w:b/>
        </w:rPr>
        <w:t>Chương IV</w:t>
      </w:r>
    </w:p>
    <w:p w:rsidR="00715A48" w:rsidRDefault="00715A48" w:rsidP="00715A48">
      <w:pPr>
        <w:jc w:val="center"/>
        <w:rPr>
          <w:b/>
        </w:rPr>
      </w:pPr>
      <w:r w:rsidRPr="00715A48">
        <w:rPr>
          <w:b/>
        </w:rPr>
        <w:t xml:space="preserve">CÔNG BỐ </w:t>
      </w:r>
      <w:r w:rsidR="00D0524A">
        <w:rPr>
          <w:b/>
        </w:rPr>
        <w:t xml:space="preserve">TỔ CHỨC, </w:t>
      </w:r>
      <w:r w:rsidRPr="00715A48">
        <w:rPr>
          <w:b/>
        </w:rPr>
        <w:t>NGƯỜI GIÁM ĐỊNH</w:t>
      </w:r>
      <w:r>
        <w:rPr>
          <w:b/>
        </w:rPr>
        <w:t xml:space="preserve"> THEO VỤ VIỆC</w:t>
      </w:r>
    </w:p>
    <w:p w:rsidR="00715A48" w:rsidRPr="00715A48" w:rsidRDefault="00715A48" w:rsidP="00715A48">
      <w:pPr>
        <w:jc w:val="center"/>
        <w:rPr>
          <w:b/>
        </w:rPr>
      </w:pPr>
      <w:r w:rsidRPr="00715A48">
        <w:rPr>
          <w:b/>
        </w:rPr>
        <w:t>TRONG CÔNG AN NHÂN DÂN</w:t>
      </w:r>
    </w:p>
    <w:p w:rsidR="00715A48" w:rsidRDefault="00715A48" w:rsidP="00715A48">
      <w:pPr>
        <w:ind w:firstLine="567"/>
        <w:jc w:val="both"/>
      </w:pPr>
    </w:p>
    <w:p w:rsidR="00715A48" w:rsidRPr="00AA267A" w:rsidRDefault="00715A48" w:rsidP="00FE5DD7">
      <w:pPr>
        <w:spacing w:before="120" w:line="252" w:lineRule="auto"/>
        <w:ind w:firstLine="567"/>
        <w:jc w:val="both"/>
        <w:rPr>
          <w:b/>
          <w:spacing w:val="-6"/>
        </w:rPr>
      </w:pPr>
      <w:r w:rsidRPr="00AA267A">
        <w:rPr>
          <w:b/>
          <w:spacing w:val="-6"/>
        </w:rPr>
        <w:t xml:space="preserve">Điều 17. Tiêu chuẩn </w:t>
      </w:r>
      <w:r w:rsidR="00D0524A" w:rsidRPr="00AA267A">
        <w:rPr>
          <w:b/>
          <w:spacing w:val="-6"/>
        </w:rPr>
        <w:t xml:space="preserve">công bố tổ chức, </w:t>
      </w:r>
      <w:r w:rsidRPr="00AA267A">
        <w:rPr>
          <w:b/>
          <w:spacing w:val="-6"/>
        </w:rPr>
        <w:t>người giám định theo vụ việc trong Công an nhân dân</w:t>
      </w:r>
    </w:p>
    <w:p w:rsidR="00715A48" w:rsidRDefault="00D0524A" w:rsidP="00FE5DD7">
      <w:pPr>
        <w:spacing w:before="120" w:line="252" w:lineRule="auto"/>
        <w:ind w:firstLine="567"/>
        <w:jc w:val="both"/>
      </w:pPr>
      <w:r>
        <w:t>1. Tổ chức, người giám định theo vụ việc trong Công an nhân dân phải đảm bảo các điều kiện quy định tại Điều 18, Điều 19 Luật Giám định tư pháp.</w:t>
      </w:r>
    </w:p>
    <w:p w:rsidR="00D0524A" w:rsidRDefault="00D0524A" w:rsidP="003831D0">
      <w:pPr>
        <w:spacing w:before="120"/>
        <w:ind w:firstLine="567"/>
        <w:jc w:val="both"/>
      </w:pPr>
      <w:r>
        <w:t>2. Tổ chức giám định tư pháp theo vụ việc</w:t>
      </w:r>
      <w:r w:rsidR="004B6AE2">
        <w:t>, người giám định tư pháp theo vụ việc</w:t>
      </w:r>
      <w:r>
        <w:t xml:space="preserve"> </w:t>
      </w:r>
      <w:r w:rsidR="004B6AE2">
        <w:t>chỉ được đề xuất công bố khi thực hiện giám định các vụ việc phù hợp</w:t>
      </w:r>
      <w:r>
        <w:t xml:space="preserve"> </w:t>
      </w:r>
      <w:r w:rsidR="004B6AE2">
        <w:t>với</w:t>
      </w:r>
      <w:r>
        <w:t xml:space="preserve"> chức năng, nhiệm vụ</w:t>
      </w:r>
      <w:r w:rsidR="004B6AE2">
        <w:t xml:space="preserve"> của Bộ trưởng Bộ Công an giao.</w:t>
      </w:r>
    </w:p>
    <w:p w:rsidR="00715A48" w:rsidRDefault="004B6AE2" w:rsidP="003831D0">
      <w:pPr>
        <w:spacing w:before="120"/>
        <w:ind w:firstLine="567"/>
        <w:jc w:val="both"/>
      </w:pPr>
      <w:r>
        <w:t>3. Việc công bố tổ chức, người giám định tư pháp theo vụ việc không áp dụng đối với các lĩnh vực giám định tư pháp công lập trong Công an nhân dân.</w:t>
      </w:r>
    </w:p>
    <w:p w:rsidR="004B6AE2" w:rsidRDefault="004B6AE2" w:rsidP="003831D0">
      <w:pPr>
        <w:spacing w:before="120"/>
        <w:ind w:firstLine="567"/>
        <w:jc w:val="both"/>
        <w:rPr>
          <w:b/>
        </w:rPr>
      </w:pPr>
      <w:r w:rsidRPr="004B6AE2">
        <w:rPr>
          <w:b/>
        </w:rPr>
        <w:t>Điều 18.</w:t>
      </w:r>
      <w:r>
        <w:t xml:space="preserve"> </w:t>
      </w:r>
      <w:r w:rsidRPr="008B480B">
        <w:rPr>
          <w:b/>
        </w:rPr>
        <w:t>Thẩm quyền, trình tự, thủ tục</w:t>
      </w:r>
      <w:r>
        <w:rPr>
          <w:b/>
        </w:rPr>
        <w:t xml:space="preserve"> công bố tổ chức, người giám định tư pháp theo vụ việc</w:t>
      </w:r>
      <w:r w:rsidR="00774741">
        <w:rPr>
          <w:b/>
        </w:rPr>
        <w:t xml:space="preserve"> trong Công an nhân dân</w:t>
      </w:r>
    </w:p>
    <w:p w:rsidR="00774741" w:rsidRDefault="00774741" w:rsidP="003831D0">
      <w:pPr>
        <w:spacing w:before="120"/>
        <w:ind w:firstLine="567"/>
        <w:jc w:val="both"/>
        <w:rPr>
          <w:lang w:val="sv-SE"/>
        </w:rPr>
      </w:pPr>
      <w:r>
        <w:lastRenderedPageBreak/>
        <w:t xml:space="preserve">1. Các đơn vị trực thuộc Bộ </w:t>
      </w:r>
      <w:r w:rsidR="00784A4B">
        <w:t xml:space="preserve">Công an </w:t>
      </w:r>
      <w:r>
        <w:rPr>
          <w:lang w:val="sv-SE"/>
        </w:rPr>
        <w:t xml:space="preserve">căn cứ chức năng, nhiệm vụ được giao lập hồ sơ và </w:t>
      </w:r>
      <w:r w:rsidRPr="008B480B">
        <w:rPr>
          <w:lang w:val="sv-SE"/>
        </w:rPr>
        <w:t xml:space="preserve">lựa chọn người có đủ tiêu chuẩn </w:t>
      </w:r>
      <w:r>
        <w:rPr>
          <w:lang w:val="sv-SE"/>
        </w:rPr>
        <w:t>theo quy định tại Điều 18 Luật Giám định tư pháp</w:t>
      </w:r>
      <w:r w:rsidRPr="008B480B">
        <w:rPr>
          <w:lang w:val="sv-SE"/>
        </w:rPr>
        <w:t xml:space="preserve">, trình Bộ trưởng Bộ Công an ra quyết định </w:t>
      </w:r>
      <w:r>
        <w:rPr>
          <w:lang w:val="sv-SE"/>
        </w:rPr>
        <w:t>công bố tổ chức, người giám định tư pháp theo vụ việc.</w:t>
      </w:r>
    </w:p>
    <w:p w:rsidR="00774741" w:rsidRPr="008B480B" w:rsidRDefault="00774741" w:rsidP="003831D0">
      <w:pPr>
        <w:spacing w:before="120"/>
        <w:ind w:firstLine="567"/>
        <w:jc w:val="both"/>
        <w:rPr>
          <w:lang w:val="sv-SE"/>
        </w:rPr>
      </w:pPr>
      <w:r>
        <w:rPr>
          <w:lang w:val="sv-SE"/>
        </w:rPr>
        <w:t xml:space="preserve">2. Các đơn vị trực thuộc Bộ có tổ chức, người giám định tư pháp theo vụ việc khi theo quyết định của Bộ trưởng Bộ Công an </w:t>
      </w:r>
      <w:r w:rsidRPr="008B480B">
        <w:rPr>
          <w:lang w:val="sv-SE"/>
        </w:rPr>
        <w:t xml:space="preserve">có trách nhiệm giúp Bộ Công an lập, đăng tải danh sách trên cổng thông tin điện tử của Bộ Công an, đồng thời gửi Bộ Tư pháp để lập, điều chỉnh danh sách chung về </w:t>
      </w:r>
      <w:r>
        <w:rPr>
          <w:lang w:val="sv-SE"/>
        </w:rPr>
        <w:t>tổ chức, người giám định tư pháp theo vụ việc</w:t>
      </w:r>
      <w:r w:rsidR="00784A4B">
        <w:rPr>
          <w:lang w:val="sv-SE"/>
        </w:rPr>
        <w:t xml:space="preserve"> và gửi Viện Khoa học hình sự để làm đầu mối giúp Bộ trưởng Bộ Công an theo dõi chung về công tác giám định tư pháp.</w:t>
      </w:r>
    </w:p>
    <w:p w:rsidR="00774741" w:rsidRDefault="00774741" w:rsidP="003831D0">
      <w:pPr>
        <w:spacing w:before="120"/>
        <w:ind w:firstLine="567"/>
        <w:jc w:val="both"/>
        <w:rPr>
          <w:b/>
          <w:lang w:val="sv-SE"/>
        </w:rPr>
      </w:pPr>
      <w:r>
        <w:rPr>
          <w:b/>
          <w:lang w:val="sv-SE"/>
        </w:rPr>
        <w:t>Điều 19</w:t>
      </w:r>
      <w:r w:rsidRPr="008B480B">
        <w:rPr>
          <w:b/>
          <w:lang w:val="sv-SE"/>
        </w:rPr>
        <w:t xml:space="preserve">. Hồ sơ đề nghị </w:t>
      </w:r>
      <w:r>
        <w:rPr>
          <w:b/>
          <w:lang w:val="sv-SE"/>
        </w:rPr>
        <w:t>công bố tổ chức, người giám định tư pháp theo vụ việc trong Công an nhân dân</w:t>
      </w:r>
    </w:p>
    <w:p w:rsidR="00774741" w:rsidRPr="00E74C1C" w:rsidRDefault="00774741" w:rsidP="003831D0">
      <w:pPr>
        <w:spacing w:before="120"/>
        <w:ind w:firstLine="567"/>
        <w:jc w:val="both"/>
        <w:rPr>
          <w:lang w:val="sv-SE"/>
        </w:rPr>
      </w:pPr>
      <w:r w:rsidRPr="00E74C1C">
        <w:rPr>
          <w:lang w:val="sv-SE"/>
        </w:rPr>
        <w:t xml:space="preserve">1. Hồ sơ đề nghị </w:t>
      </w:r>
      <w:r>
        <w:rPr>
          <w:lang w:val="sv-SE"/>
        </w:rPr>
        <w:t xml:space="preserve">công bố tổ chức, người giám định tư pháp theo vụ việc trong Công an nhân dân </w:t>
      </w:r>
      <w:r w:rsidRPr="00E74C1C">
        <w:rPr>
          <w:lang w:val="sv-SE"/>
        </w:rPr>
        <w:t>được làm thành 02 bộ</w:t>
      </w:r>
      <w:r>
        <w:rPr>
          <w:lang w:val="sv-SE"/>
        </w:rPr>
        <w:t>, bao gồm các văn bản sau</w:t>
      </w:r>
      <w:r w:rsidRPr="00E74C1C">
        <w:rPr>
          <w:lang w:val="sv-SE"/>
        </w:rPr>
        <w:t>:</w:t>
      </w:r>
    </w:p>
    <w:p w:rsidR="00774741" w:rsidRDefault="00774741" w:rsidP="003831D0">
      <w:pPr>
        <w:spacing w:before="120"/>
        <w:ind w:firstLine="567"/>
        <w:jc w:val="both"/>
        <w:rPr>
          <w:lang w:val="sv-SE"/>
        </w:rPr>
      </w:pPr>
      <w:r w:rsidRPr="00E74C1C">
        <w:rPr>
          <w:lang w:val="sv-SE"/>
        </w:rPr>
        <w:t xml:space="preserve">a) Văn bản đề xuất </w:t>
      </w:r>
      <w:r>
        <w:rPr>
          <w:lang w:val="sv-SE"/>
        </w:rPr>
        <w:t>đơn vị quản lý tổ chức, người giám định tư pháp theo vụ việc được đề nghị bổ nhiệm.</w:t>
      </w:r>
    </w:p>
    <w:p w:rsidR="00774741" w:rsidRPr="00E74C1C" w:rsidRDefault="00774741" w:rsidP="003831D0">
      <w:pPr>
        <w:spacing w:before="120"/>
        <w:ind w:firstLine="567"/>
        <w:jc w:val="both"/>
        <w:rPr>
          <w:lang w:val="sv-SE"/>
        </w:rPr>
      </w:pPr>
      <w:r w:rsidRPr="00E74C1C">
        <w:rPr>
          <w:lang w:val="sv-SE"/>
        </w:rPr>
        <w:t xml:space="preserve">b) Bản tự kiểm điểm của người được đề nghị </w:t>
      </w:r>
      <w:r>
        <w:rPr>
          <w:lang w:val="sv-SE"/>
        </w:rPr>
        <w:t>công bố người giám định tư pháp theo vụ việc.</w:t>
      </w:r>
    </w:p>
    <w:p w:rsidR="008E0AC7" w:rsidRPr="008E0AC7" w:rsidRDefault="008E0AC7" w:rsidP="003831D0">
      <w:pPr>
        <w:spacing w:before="120"/>
        <w:ind w:firstLine="567"/>
        <w:jc w:val="both"/>
        <w:rPr>
          <w:b/>
          <w:spacing w:val="-6"/>
          <w:lang w:val="sv-SE"/>
        </w:rPr>
      </w:pPr>
      <w:r w:rsidRPr="008E0AC7">
        <w:rPr>
          <w:b/>
          <w:spacing w:val="-6"/>
          <w:lang w:val="sv-SE"/>
        </w:rPr>
        <w:t>Điều 20. Hủy bỏ công bố tổ chức, người giám định tư pháp theo vụ việc</w:t>
      </w:r>
    </w:p>
    <w:p w:rsidR="008E0AC7" w:rsidRDefault="008E0AC7" w:rsidP="003831D0">
      <w:pPr>
        <w:spacing w:before="120"/>
        <w:ind w:firstLine="567"/>
        <w:jc w:val="both"/>
        <w:rPr>
          <w:spacing w:val="-6"/>
          <w:lang w:val="sv-SE"/>
        </w:rPr>
      </w:pPr>
      <w:r>
        <w:rPr>
          <w:spacing w:val="-6"/>
          <w:lang w:val="sv-SE"/>
        </w:rPr>
        <w:t>1. Khi không còn điều kiện đảm bảo việc thực hiện giám định tư pháp theo vụ việc, đơn vị có tổ chức, người giám định tư pháp theo vụ việc báo cáo Bộ trưởng ra quyết định hủy công bố tổ chức, người giám định tư pháp theo vụ việc.</w:t>
      </w:r>
    </w:p>
    <w:p w:rsidR="008E0AC7" w:rsidRPr="008B480B" w:rsidRDefault="008E0AC7" w:rsidP="003831D0">
      <w:pPr>
        <w:spacing w:before="120"/>
        <w:ind w:firstLine="567"/>
        <w:jc w:val="both"/>
        <w:rPr>
          <w:lang w:val="sv-SE"/>
        </w:rPr>
      </w:pPr>
      <w:r>
        <w:rPr>
          <w:spacing w:val="-6"/>
          <w:lang w:val="sv-SE"/>
        </w:rPr>
        <w:t xml:space="preserve">2. Đơn vị có tổ chức, người giám định tư pháp theo vụ việc có trách nhiệm đề nghị hủy công bố trên </w:t>
      </w:r>
      <w:r w:rsidRPr="008B480B">
        <w:rPr>
          <w:lang w:val="sv-SE"/>
        </w:rPr>
        <w:t>cổng thông tin điện tử của Bộ Công an</w:t>
      </w:r>
      <w:r>
        <w:rPr>
          <w:lang w:val="sv-SE"/>
        </w:rPr>
        <w:t xml:space="preserve">, đồng thời gửi </w:t>
      </w:r>
      <w:r w:rsidRPr="008B480B">
        <w:rPr>
          <w:lang w:val="sv-SE"/>
        </w:rPr>
        <w:t xml:space="preserve">Bộ Tư pháp để lập, điều chỉnh danh sách chung về </w:t>
      </w:r>
      <w:r>
        <w:rPr>
          <w:lang w:val="sv-SE"/>
        </w:rPr>
        <w:t>tổ chức, người giám định tư pháp theo vụ việc</w:t>
      </w:r>
      <w:r w:rsidRPr="008B480B">
        <w:rPr>
          <w:lang w:val="sv-SE"/>
        </w:rPr>
        <w:t>.</w:t>
      </w:r>
    </w:p>
    <w:p w:rsidR="0011529A" w:rsidRDefault="0011529A" w:rsidP="008E0AC7">
      <w:pPr>
        <w:ind w:firstLine="709"/>
        <w:jc w:val="both"/>
      </w:pPr>
    </w:p>
    <w:p w:rsidR="008E0AC7" w:rsidRPr="008E0AC7" w:rsidRDefault="008E0AC7" w:rsidP="008E0AC7">
      <w:pPr>
        <w:jc w:val="center"/>
        <w:rPr>
          <w:b/>
        </w:rPr>
      </w:pPr>
      <w:r w:rsidRPr="008E0AC7">
        <w:rPr>
          <w:b/>
        </w:rPr>
        <w:t>Chương V</w:t>
      </w:r>
    </w:p>
    <w:p w:rsidR="008E0AC7" w:rsidRPr="008E0AC7" w:rsidRDefault="008E0AC7" w:rsidP="008E0AC7">
      <w:pPr>
        <w:jc w:val="center"/>
        <w:rPr>
          <w:b/>
        </w:rPr>
      </w:pPr>
      <w:r w:rsidRPr="008E0AC7">
        <w:rPr>
          <w:b/>
        </w:rPr>
        <w:t>ĐIỀU KHOẢN THI HÀNH</w:t>
      </w:r>
    </w:p>
    <w:p w:rsidR="008E0AC7" w:rsidRDefault="008E0AC7" w:rsidP="008E0AC7">
      <w:pPr>
        <w:ind w:firstLine="709"/>
        <w:jc w:val="both"/>
      </w:pPr>
    </w:p>
    <w:p w:rsidR="008E0AC7" w:rsidRPr="008E0AC7" w:rsidRDefault="008E0AC7" w:rsidP="00FE5DD7">
      <w:pPr>
        <w:spacing w:before="120" w:line="252" w:lineRule="auto"/>
        <w:ind w:firstLine="567"/>
        <w:jc w:val="both"/>
        <w:rPr>
          <w:b/>
        </w:rPr>
      </w:pPr>
      <w:r w:rsidRPr="008E0AC7">
        <w:rPr>
          <w:b/>
        </w:rPr>
        <w:t>Điều 21. Hiệu lực thi hành</w:t>
      </w:r>
    </w:p>
    <w:p w:rsidR="008E0AC7" w:rsidRDefault="008E0AC7" w:rsidP="00FE5DD7">
      <w:pPr>
        <w:spacing w:before="120" w:line="252" w:lineRule="auto"/>
        <w:ind w:firstLine="567"/>
        <w:jc w:val="both"/>
      </w:pPr>
      <w:r>
        <w:t>1. Thông tư này có hiệu lực thi hành sau 45 ngày, kể từ ngày ký.</w:t>
      </w:r>
    </w:p>
    <w:p w:rsidR="008E0AC7" w:rsidRDefault="008E0AC7" w:rsidP="003F1C8D">
      <w:pPr>
        <w:spacing w:before="120" w:line="257" w:lineRule="auto"/>
        <w:ind w:firstLine="567"/>
        <w:jc w:val="both"/>
      </w:pPr>
      <w:r>
        <w:t>2. Thông tư này thay thế Thông tư số 33/2014/TT-BCA, ngày 05/8/2014 của Bộ trưởng Bộ Công an quy định chi tiết tiêu chuẩn, trình tự, thủ tục bổ nhiệm, miễn nhiệm giám định viên tư pháp kỹ thuật hình sự và Thông tư số 77/2019/TT-BCA, ngày 23/12/2019 của Bộ trưởng Bộ Công an sửa đổi, bổ sung một số điều Thông tư số 33/2014/TT-BCA.</w:t>
      </w:r>
    </w:p>
    <w:p w:rsidR="00AB099A" w:rsidRPr="00AB099A" w:rsidRDefault="00AB099A" w:rsidP="003F1C8D">
      <w:pPr>
        <w:spacing w:before="120" w:line="257" w:lineRule="auto"/>
        <w:ind w:firstLine="567"/>
        <w:jc w:val="both"/>
        <w:rPr>
          <w:b/>
        </w:rPr>
      </w:pPr>
      <w:r w:rsidRPr="00AB099A">
        <w:rPr>
          <w:b/>
        </w:rPr>
        <w:t>Điều 22. Điều khoản chuyển tiếp</w:t>
      </w:r>
    </w:p>
    <w:p w:rsidR="005F475B" w:rsidRDefault="00AB099A" w:rsidP="003F1C8D">
      <w:pPr>
        <w:spacing w:before="120" w:line="257" w:lineRule="auto"/>
        <w:ind w:firstLine="567"/>
        <w:jc w:val="both"/>
        <w:rPr>
          <w:lang w:val="sv-SE"/>
        </w:rPr>
      </w:pPr>
      <w:r w:rsidRPr="00E74C1C">
        <w:rPr>
          <w:lang w:val="sv-SE"/>
        </w:rPr>
        <w:t xml:space="preserve">1. Đối với những giám định viên kỹ thuật </w:t>
      </w:r>
      <w:r>
        <w:rPr>
          <w:lang w:val="sv-SE"/>
        </w:rPr>
        <w:t xml:space="preserve">hình sự </w:t>
      </w:r>
      <w:r w:rsidRPr="00E74C1C">
        <w:rPr>
          <w:lang w:val="sv-SE"/>
        </w:rPr>
        <w:t xml:space="preserve">đã được bổ nhiệm trước ngày Thông tư này có hiệu lực thi hành </w:t>
      </w:r>
      <w:r>
        <w:rPr>
          <w:lang w:val="sv-SE"/>
        </w:rPr>
        <w:t xml:space="preserve">và không thuộc các trường hợp bị miễn </w:t>
      </w:r>
      <w:r>
        <w:rPr>
          <w:lang w:val="sv-SE"/>
        </w:rPr>
        <w:lastRenderedPageBreak/>
        <w:t xml:space="preserve">nhiệm quy định tại Điều 10 Luật Giám định tư pháp thì </w:t>
      </w:r>
      <w:r w:rsidR="005201D0">
        <w:rPr>
          <w:lang w:val="sv-SE"/>
        </w:rPr>
        <w:t>tiếp tục thực hiện quyết định bổ nhiệm theo quy định.</w:t>
      </w:r>
      <w:r w:rsidR="005F475B">
        <w:rPr>
          <w:lang w:val="sv-SE"/>
        </w:rPr>
        <w:t xml:space="preserve"> </w:t>
      </w:r>
      <w:r w:rsidR="00FD007E">
        <w:rPr>
          <w:lang w:val="sv-SE"/>
        </w:rPr>
        <w:t xml:space="preserve">Trường hợp giám định viên đã được bổ nhiệm nhưng chưa ghi rõ chuyên ngành thì tiến hành thủ tục hồ sơ theo quy định tại Thông tư này để bổ nhiệm lại theo đúng chuyên ngành. </w:t>
      </w:r>
      <w:r w:rsidR="005F475B">
        <w:rPr>
          <w:lang w:val="sv-SE"/>
        </w:rPr>
        <w:t xml:space="preserve">Đối với người được đề nghị bổ nhiệm giám định viên kỹ thuật hình sự có trình độ đại học trở lên </w:t>
      </w:r>
      <w:r w:rsidR="00E37BF4">
        <w:rPr>
          <w:lang w:val="sv-SE"/>
        </w:rPr>
        <w:t xml:space="preserve">được cấp bằng theo quy định trước </w:t>
      </w:r>
      <w:r w:rsidR="005F475B" w:rsidRPr="005F475B">
        <w:rPr>
          <w:lang w:val="sv-SE"/>
        </w:rPr>
        <w:t xml:space="preserve">Thông tư </w:t>
      </w:r>
      <w:r w:rsidR="00B04AA8">
        <w:rPr>
          <w:lang w:val="sv-SE"/>
        </w:rPr>
        <w:t xml:space="preserve">số </w:t>
      </w:r>
      <w:r w:rsidR="005F475B" w:rsidRPr="005F475B">
        <w:rPr>
          <w:lang w:val="sv-SE"/>
        </w:rPr>
        <w:t xml:space="preserve">24/2017/TT-BGDĐT </w:t>
      </w:r>
      <w:r w:rsidR="00E37BF4">
        <w:rPr>
          <w:lang w:val="sv-SE"/>
        </w:rPr>
        <w:t xml:space="preserve">ngày 10 tháng 10 năm 2017 của Bộ Giáo dục và đào tạo </w:t>
      </w:r>
      <w:r w:rsidR="005F475B" w:rsidRPr="005F475B">
        <w:rPr>
          <w:lang w:val="sv-SE"/>
        </w:rPr>
        <w:t xml:space="preserve">ban hành danh mục giáo dục, đào tạo cấp IV trình độ đại học và Thông tư </w:t>
      </w:r>
      <w:r w:rsidR="00B04AA8">
        <w:rPr>
          <w:lang w:val="sv-SE"/>
        </w:rPr>
        <w:t xml:space="preserve">số </w:t>
      </w:r>
      <w:r w:rsidR="005F475B" w:rsidRPr="005F475B">
        <w:rPr>
          <w:lang w:val="sv-SE"/>
        </w:rPr>
        <w:t>25/2017/TT-BGDĐT</w:t>
      </w:r>
      <w:r w:rsidR="00E37BF4">
        <w:rPr>
          <w:lang w:val="sv-SE"/>
        </w:rPr>
        <w:t xml:space="preserve"> ngày 10 tháng 10 năm 2017 của Bộ Giáo dục và đào tạo</w:t>
      </w:r>
      <w:r w:rsidR="005F475B" w:rsidRPr="005F475B">
        <w:rPr>
          <w:lang w:val="sv-SE"/>
        </w:rPr>
        <w:t xml:space="preserve"> quy định ban hành danh mục giáo dục, đào tạo c</w:t>
      </w:r>
      <w:r w:rsidR="00E37BF4">
        <w:rPr>
          <w:lang w:val="sv-SE"/>
        </w:rPr>
        <w:t>ấp IV trình độ thạc sĩ, tiến sĩ có hiệu lực thì được áp dụng theo các ngành, chuyên ngành theo quy định trước đây.</w:t>
      </w:r>
    </w:p>
    <w:p w:rsidR="00AB099A" w:rsidRPr="007B7987" w:rsidRDefault="00AB099A" w:rsidP="003F1C8D">
      <w:pPr>
        <w:spacing w:before="120" w:line="257" w:lineRule="auto"/>
        <w:ind w:firstLine="567"/>
        <w:jc w:val="both"/>
        <w:rPr>
          <w:spacing w:val="-2"/>
          <w:lang w:val="sv-SE"/>
        </w:rPr>
      </w:pPr>
      <w:r w:rsidRPr="007B7987">
        <w:rPr>
          <w:spacing w:val="-2"/>
          <w:lang w:val="sv-SE"/>
        </w:rPr>
        <w:t>2. Viện Khoa học hình sự có trách nhiệm</w:t>
      </w:r>
      <w:r w:rsidR="00696066" w:rsidRPr="007B7987">
        <w:rPr>
          <w:spacing w:val="-2"/>
          <w:lang w:val="sv-SE"/>
        </w:rPr>
        <w:t xml:space="preserve"> rà soát các trường hợp miễn nhiệm theo quy định tại Điều 10 Luật Giám định tư pháp </w:t>
      </w:r>
      <w:r w:rsidR="003F1C8D">
        <w:rPr>
          <w:spacing w:val="-2"/>
          <w:lang w:val="sv-SE"/>
        </w:rPr>
        <w:t xml:space="preserve">trước thời điểm Thông tư này có hiệu lực </w:t>
      </w:r>
      <w:r w:rsidR="00696066" w:rsidRPr="007B7987">
        <w:rPr>
          <w:spacing w:val="-2"/>
          <w:lang w:val="sv-SE"/>
        </w:rPr>
        <w:t>báo cáo Bộ trưởng ra quyết định miễn nhiệm giám định viên kỹ thuật hình sự đối với các giám định viên thuộc Viện Khoa học hình sự, Phòng Giám định kỹ thuật hình sự Bộ Quốc phòng.</w:t>
      </w:r>
    </w:p>
    <w:p w:rsidR="00696066" w:rsidRDefault="00696066" w:rsidP="003F1C8D">
      <w:pPr>
        <w:spacing w:before="120" w:line="257" w:lineRule="auto"/>
        <w:ind w:firstLine="567"/>
        <w:jc w:val="both"/>
        <w:rPr>
          <w:lang w:val="sv-SE"/>
        </w:rPr>
      </w:pPr>
      <w:r>
        <w:rPr>
          <w:lang w:val="sv-SE"/>
        </w:rPr>
        <w:t xml:space="preserve">3. Công an cấp tỉnh có trách nhiệm rà soát các trường hợp miễn nhiệm theo quy định tại Điều 10 Luật Giám định tư pháp </w:t>
      </w:r>
      <w:r w:rsidR="003F1C8D">
        <w:rPr>
          <w:spacing w:val="-2"/>
          <w:lang w:val="sv-SE"/>
        </w:rPr>
        <w:t xml:space="preserve">trước thời điểm Thông tư này có hiệu lực </w:t>
      </w:r>
      <w:r>
        <w:rPr>
          <w:lang w:val="sv-SE"/>
        </w:rPr>
        <w:t>báo cáo Chủ tịch Ủy ban nhân dân cấp tỉnh ra quyết định miễn nhiệm giám định viên kỹ thuật hình sự đối với các giám định viên thuộc Phòng Kỹ thuật hình sự.</w:t>
      </w:r>
    </w:p>
    <w:p w:rsidR="00696066" w:rsidRDefault="00696066" w:rsidP="003F1C8D">
      <w:pPr>
        <w:spacing w:before="120" w:line="257" w:lineRule="auto"/>
        <w:ind w:firstLine="567"/>
        <w:jc w:val="both"/>
        <w:rPr>
          <w:lang w:val="sv-SE"/>
        </w:rPr>
      </w:pPr>
      <w:r>
        <w:rPr>
          <w:lang w:val="sv-SE"/>
        </w:rPr>
        <w:t xml:space="preserve">4. Viện Khoa học hình sự và Công an cấp tỉnh có trách nhiệm rà soát các giám định viên kỹ thuật hình sự đã được cấp thẻ theo quy định trước đây để tiến hành thu hồi, tiêu hủy và thực hiện thủ tục </w:t>
      </w:r>
      <w:r w:rsidR="005201D0">
        <w:rPr>
          <w:lang w:val="sv-SE"/>
        </w:rPr>
        <w:t xml:space="preserve">báo cáo Bộ trưởng </w:t>
      </w:r>
      <w:r>
        <w:rPr>
          <w:lang w:val="sv-SE"/>
        </w:rPr>
        <w:t>ra quyết định cấp thẻ giám định viên theo quy định tại Thông tư này.</w:t>
      </w:r>
    </w:p>
    <w:p w:rsidR="007B7987" w:rsidRDefault="00556E4C" w:rsidP="003F1C8D">
      <w:pPr>
        <w:spacing w:before="120" w:line="257" w:lineRule="auto"/>
        <w:ind w:firstLine="567"/>
        <w:jc w:val="both"/>
        <w:rPr>
          <w:lang w:val="sv-SE"/>
        </w:rPr>
      </w:pPr>
      <w:r>
        <w:rPr>
          <w:lang w:val="sv-SE"/>
        </w:rPr>
        <w:t>5. Người giúp việc cho giám định viên chưa được bổ nhiệm chức danh Trợ lý giám định viên tiếp tục được thực hiện và đảm bảo các chế độ, chính sách theo quy định đến ngày 31/12/2022. Sau thời hạn trên phải đảm bảo đúng quy định tại Thông tư này để thực hiện các chế độ, chính sách phù hợp.</w:t>
      </w:r>
    </w:p>
    <w:p w:rsidR="00AB099A" w:rsidRPr="00AB099A" w:rsidRDefault="00556E4C" w:rsidP="003F1C8D">
      <w:pPr>
        <w:spacing w:before="120" w:line="257" w:lineRule="auto"/>
        <w:ind w:firstLine="567"/>
        <w:jc w:val="both"/>
        <w:rPr>
          <w:spacing w:val="-2"/>
          <w:lang w:val="sv-SE"/>
        </w:rPr>
      </w:pPr>
      <w:r>
        <w:rPr>
          <w:spacing w:val="-2"/>
          <w:lang w:val="sv-SE"/>
        </w:rPr>
        <w:t>6</w:t>
      </w:r>
      <w:r w:rsidR="00AB099A" w:rsidRPr="00AB099A">
        <w:rPr>
          <w:spacing w:val="-2"/>
          <w:lang w:val="sv-SE"/>
        </w:rPr>
        <w:t>. Đối với tổ chức, người giám định tư pháp theo vụ việc đã công bố trước ngày Thông tư này có hiệu lực thi hành thì không phải lập hồ sơ theo quy định tại Thông tư này và tiếp tục thực hiện theo quy định của Luật Giám định tư pháp.</w:t>
      </w:r>
    </w:p>
    <w:p w:rsidR="00AB099A" w:rsidRPr="00AB099A" w:rsidRDefault="00AB099A" w:rsidP="00FE5DD7">
      <w:pPr>
        <w:spacing w:before="120" w:line="252" w:lineRule="auto"/>
        <w:ind w:firstLine="567"/>
        <w:jc w:val="both"/>
        <w:rPr>
          <w:b/>
          <w:lang w:val="sv-SE"/>
        </w:rPr>
      </w:pPr>
      <w:r w:rsidRPr="00AB099A">
        <w:rPr>
          <w:b/>
          <w:lang w:val="sv-SE"/>
        </w:rPr>
        <w:t>Điều 23. Tổ chức thực hiện</w:t>
      </w:r>
    </w:p>
    <w:p w:rsidR="00AB099A" w:rsidRDefault="00AB099A" w:rsidP="00FE5DD7">
      <w:pPr>
        <w:spacing w:before="120" w:line="252" w:lineRule="auto"/>
        <w:ind w:firstLine="567"/>
        <w:jc w:val="both"/>
        <w:rPr>
          <w:color w:val="000000"/>
        </w:rPr>
      </w:pPr>
      <w:r w:rsidRPr="00CD708C">
        <w:rPr>
          <w:color w:val="000000"/>
        </w:rPr>
        <w:t>1. Thủ trưởng c</w:t>
      </w:r>
      <w:r>
        <w:rPr>
          <w:color w:val="000000"/>
        </w:rPr>
        <w:t>ác đơn vị trực thuộc Bộ Công an,</w:t>
      </w:r>
      <w:r w:rsidRPr="00CD708C">
        <w:rPr>
          <w:color w:val="000000"/>
        </w:rPr>
        <w:t xml:space="preserve"> Giám đốc Công an các tỉnh, thành phố trực thuộc Trung ương và Thủ trưởng các cơ quan, đơn vị và cá nhân có liên quan đến hoạt động </w:t>
      </w:r>
      <w:r>
        <w:rPr>
          <w:color w:val="000000"/>
        </w:rPr>
        <w:t>giám định tư pháp</w:t>
      </w:r>
      <w:r w:rsidRPr="00CD708C">
        <w:rPr>
          <w:color w:val="000000"/>
        </w:rPr>
        <w:t xml:space="preserve"> trong phạm vi chức năng, nhiệm vụ của mình chịu trách nhiệm tổ chức thực hiện Thông tư này.</w:t>
      </w:r>
    </w:p>
    <w:p w:rsidR="008E77E9" w:rsidRDefault="005201D0" w:rsidP="00FE5DD7">
      <w:pPr>
        <w:spacing w:before="120" w:line="252" w:lineRule="auto"/>
        <w:ind w:firstLine="567"/>
        <w:jc w:val="both"/>
        <w:rPr>
          <w:color w:val="000000"/>
        </w:rPr>
      </w:pPr>
      <w:r>
        <w:rPr>
          <w:color w:val="000000"/>
        </w:rPr>
        <w:t xml:space="preserve">2. Cục Tổ chức cán bộ có trách nhiệm phối hợp với Viện Khoa học hình sự hướng dẫn cấp bậc hàm cao nhất đối với chức danh giám định viên theo các </w:t>
      </w:r>
      <w:r w:rsidR="00FE5DD7">
        <w:rPr>
          <w:color w:val="000000"/>
        </w:rPr>
        <w:t>loại</w:t>
      </w:r>
      <w:r>
        <w:rPr>
          <w:color w:val="000000"/>
        </w:rPr>
        <w:t xml:space="preserve"> được quy định tại Thông tư này đảm bảo các chế độ, chính sách đãi ngộ theo quy </w:t>
      </w:r>
      <w:r>
        <w:rPr>
          <w:color w:val="000000"/>
        </w:rPr>
        <w:lastRenderedPageBreak/>
        <w:t xml:space="preserve">định tại </w:t>
      </w:r>
      <w:r w:rsidR="008E77E9">
        <w:rPr>
          <w:color w:val="000000"/>
        </w:rPr>
        <w:t xml:space="preserve">điểm d, khoản 1, Điều 27 </w:t>
      </w:r>
      <w:r w:rsidR="008E77E9" w:rsidRPr="008E77E9">
        <w:rPr>
          <w:color w:val="000000"/>
        </w:rPr>
        <w:t>Nghị định quy định chi tiết và biện pháp thi hành Luật Giám định tư pháp</w:t>
      </w:r>
      <w:r w:rsidR="008E77E9">
        <w:rPr>
          <w:color w:val="000000"/>
        </w:rPr>
        <w:t>.</w:t>
      </w:r>
    </w:p>
    <w:p w:rsidR="00AB099A" w:rsidRDefault="008E77E9" w:rsidP="00FE5DD7">
      <w:pPr>
        <w:spacing w:before="120" w:line="252" w:lineRule="auto"/>
        <w:ind w:firstLine="567"/>
        <w:jc w:val="both"/>
        <w:rPr>
          <w:lang w:val="fr-FR"/>
        </w:rPr>
      </w:pPr>
      <w:r>
        <w:rPr>
          <w:color w:val="000000"/>
        </w:rPr>
        <w:t>3</w:t>
      </w:r>
      <w:r w:rsidR="00AB099A">
        <w:rPr>
          <w:color w:val="000000"/>
        </w:rPr>
        <w:t xml:space="preserve">. </w:t>
      </w:r>
      <w:r w:rsidR="00696066">
        <w:rPr>
          <w:color w:val="000000"/>
        </w:rPr>
        <w:t xml:space="preserve">Viện Khoa học hình sự có </w:t>
      </w:r>
      <w:r w:rsidR="00696066" w:rsidRPr="00CD708C">
        <w:rPr>
          <w:lang w:val="fr-FR"/>
        </w:rPr>
        <w:t>trách nhiệm tổ chức hướng dẫn, kiểm tra, đôn đốc triển khai thực hiện Thông tư này</w:t>
      </w:r>
      <w:r w:rsidR="00696066">
        <w:rPr>
          <w:lang w:val="fr-FR"/>
        </w:rPr>
        <w:t xml:space="preserve"> theo chức năng, nhiệm vụ được giao.</w:t>
      </w:r>
    </w:p>
    <w:p w:rsidR="00696066" w:rsidRPr="00CD708C" w:rsidRDefault="008E77E9" w:rsidP="00FE5DD7">
      <w:pPr>
        <w:spacing w:before="120" w:line="252" w:lineRule="auto"/>
        <w:ind w:firstLine="567"/>
        <w:jc w:val="both"/>
        <w:rPr>
          <w:color w:val="000000"/>
        </w:rPr>
      </w:pPr>
      <w:r>
        <w:rPr>
          <w:lang w:val="fr-FR"/>
        </w:rPr>
        <w:t>4</w:t>
      </w:r>
      <w:r w:rsidR="00696066">
        <w:rPr>
          <w:lang w:val="fr-FR"/>
        </w:rPr>
        <w:t xml:space="preserve">. </w:t>
      </w:r>
      <w:r w:rsidR="00696066" w:rsidRPr="00CD708C">
        <w:rPr>
          <w:lang w:val="fr-FR"/>
        </w:rPr>
        <w:t>Trong quá trình thực hiện Thông tư nếu có vướng mắc, Công an các đơn vị, địa phương báo cáo về Bộ Công an (qua Viện Khoa học hình sự) để kịp thời hướng dẫn</w:t>
      </w:r>
      <w:r w:rsidR="00696066">
        <w:rPr>
          <w:lang w:val="fr-FR"/>
        </w:rPr>
        <w:t>./.</w:t>
      </w:r>
    </w:p>
    <w:p w:rsidR="00A90FE5" w:rsidRPr="00E74C1C" w:rsidRDefault="00A90FE5" w:rsidP="00C12271">
      <w:pPr>
        <w:spacing w:before="120"/>
        <w:ind w:firstLine="720"/>
        <w:jc w:val="both"/>
        <w:rPr>
          <w:lang w:val="sv-SE"/>
        </w:rPr>
      </w:pPr>
    </w:p>
    <w:tbl>
      <w:tblPr>
        <w:tblW w:w="9380" w:type="dxa"/>
        <w:jc w:val="center"/>
        <w:tblLayout w:type="fixed"/>
        <w:tblLook w:val="0000" w:firstRow="0" w:lastRow="0" w:firstColumn="0" w:lastColumn="0" w:noHBand="0" w:noVBand="0"/>
      </w:tblPr>
      <w:tblGrid>
        <w:gridCol w:w="5683"/>
        <w:gridCol w:w="3697"/>
      </w:tblGrid>
      <w:tr w:rsidR="00A90FE5" w:rsidRPr="00902506" w:rsidTr="00CF3A9E">
        <w:trPr>
          <w:trHeight w:val="3080"/>
          <w:jc w:val="center"/>
        </w:trPr>
        <w:tc>
          <w:tcPr>
            <w:tcW w:w="5683" w:type="dxa"/>
          </w:tcPr>
          <w:p w:rsidR="00A90FE5" w:rsidRPr="00902506" w:rsidRDefault="00A90FE5" w:rsidP="00E76C92">
            <w:pPr>
              <w:jc w:val="both"/>
              <w:rPr>
                <w:b/>
                <w:snapToGrid w:val="0"/>
                <w:sz w:val="24"/>
                <w:szCs w:val="24"/>
              </w:rPr>
            </w:pPr>
            <w:r w:rsidRPr="00902506">
              <w:rPr>
                <w:b/>
                <w:i/>
                <w:snapToGrid w:val="0"/>
                <w:sz w:val="24"/>
                <w:szCs w:val="24"/>
              </w:rPr>
              <w:t>Nơi nhận:</w:t>
            </w:r>
          </w:p>
          <w:p w:rsidR="00A90FE5" w:rsidRPr="00902506" w:rsidRDefault="00A90FE5" w:rsidP="00E76C92">
            <w:pPr>
              <w:jc w:val="both"/>
              <w:rPr>
                <w:snapToGrid w:val="0"/>
                <w:sz w:val="22"/>
                <w:szCs w:val="22"/>
              </w:rPr>
            </w:pPr>
            <w:r w:rsidRPr="00902506">
              <w:rPr>
                <w:snapToGrid w:val="0"/>
                <w:sz w:val="22"/>
                <w:szCs w:val="22"/>
              </w:rPr>
              <w:t>- Viện kiểm sát nhân dân tối cao;</w:t>
            </w:r>
          </w:p>
          <w:p w:rsidR="00A90FE5" w:rsidRPr="00902506" w:rsidRDefault="00A90FE5" w:rsidP="00E76C92">
            <w:pPr>
              <w:jc w:val="both"/>
              <w:rPr>
                <w:snapToGrid w:val="0"/>
                <w:sz w:val="22"/>
                <w:szCs w:val="22"/>
              </w:rPr>
            </w:pPr>
            <w:r w:rsidRPr="00902506">
              <w:rPr>
                <w:snapToGrid w:val="0"/>
                <w:sz w:val="22"/>
                <w:szCs w:val="22"/>
              </w:rPr>
              <w:t>- Toà án nhân dân tối cao;</w:t>
            </w:r>
          </w:p>
          <w:p w:rsidR="00A90FE5" w:rsidRPr="00902506" w:rsidRDefault="00A90FE5" w:rsidP="00E76C92">
            <w:pPr>
              <w:jc w:val="both"/>
              <w:rPr>
                <w:snapToGrid w:val="0"/>
                <w:sz w:val="22"/>
                <w:szCs w:val="22"/>
              </w:rPr>
            </w:pPr>
            <w:r w:rsidRPr="00902506">
              <w:rPr>
                <w:snapToGrid w:val="0"/>
                <w:sz w:val="22"/>
                <w:szCs w:val="22"/>
              </w:rPr>
              <w:t>- Bộ Quốc phòng;</w:t>
            </w:r>
          </w:p>
          <w:p w:rsidR="00A90FE5" w:rsidRDefault="00A90FE5" w:rsidP="00E76C92">
            <w:pPr>
              <w:jc w:val="both"/>
              <w:rPr>
                <w:snapToGrid w:val="0"/>
                <w:sz w:val="22"/>
                <w:szCs w:val="22"/>
              </w:rPr>
            </w:pPr>
            <w:r w:rsidRPr="00902506">
              <w:rPr>
                <w:snapToGrid w:val="0"/>
                <w:sz w:val="22"/>
                <w:szCs w:val="22"/>
              </w:rPr>
              <w:t>- Bộ Tư pháp;</w:t>
            </w:r>
          </w:p>
          <w:p w:rsidR="00A90FE5" w:rsidRDefault="00A90FE5" w:rsidP="00A90FE5">
            <w:pPr>
              <w:jc w:val="both"/>
              <w:rPr>
                <w:sz w:val="22"/>
                <w:szCs w:val="22"/>
                <w:lang w:val="sv-SE"/>
              </w:rPr>
            </w:pPr>
            <w:r w:rsidRPr="00CF3A9E">
              <w:rPr>
                <w:snapToGrid w:val="0"/>
                <w:spacing w:val="-4"/>
                <w:sz w:val="22"/>
                <w:szCs w:val="22"/>
              </w:rPr>
              <w:t>-</w:t>
            </w:r>
            <w:r w:rsidR="00CF3A9E" w:rsidRPr="00CF3A9E">
              <w:rPr>
                <w:snapToGrid w:val="0"/>
                <w:spacing w:val="-4"/>
                <w:sz w:val="22"/>
                <w:szCs w:val="22"/>
              </w:rPr>
              <w:t xml:space="preserve"> </w:t>
            </w:r>
            <w:r w:rsidRPr="00CF3A9E">
              <w:rPr>
                <w:spacing w:val="-4"/>
                <w:sz w:val="22"/>
                <w:szCs w:val="22"/>
                <w:lang w:val="sv-SE"/>
              </w:rPr>
              <w:t xml:space="preserve">Uỷ ban nhân dân </w:t>
            </w:r>
            <w:r w:rsidR="008E77E9">
              <w:rPr>
                <w:spacing w:val="-4"/>
                <w:sz w:val="22"/>
                <w:szCs w:val="22"/>
                <w:lang w:val="sv-SE"/>
              </w:rPr>
              <w:t>cấp tỉnh</w:t>
            </w:r>
            <w:r w:rsidRPr="00E74C1C">
              <w:rPr>
                <w:sz w:val="22"/>
                <w:szCs w:val="22"/>
                <w:lang w:val="sv-SE"/>
              </w:rPr>
              <w:t>;</w:t>
            </w:r>
          </w:p>
          <w:p w:rsidR="00A90FE5" w:rsidRPr="00902506" w:rsidRDefault="00A90FE5" w:rsidP="00E76C92">
            <w:pPr>
              <w:jc w:val="both"/>
              <w:rPr>
                <w:snapToGrid w:val="0"/>
                <w:sz w:val="22"/>
                <w:szCs w:val="22"/>
              </w:rPr>
            </w:pPr>
            <w:r w:rsidRPr="00902506">
              <w:rPr>
                <w:snapToGrid w:val="0"/>
                <w:sz w:val="22"/>
                <w:szCs w:val="22"/>
              </w:rPr>
              <w:t>- Các đồng chí Thứ trưởng;</w:t>
            </w:r>
          </w:p>
          <w:p w:rsidR="00A90FE5" w:rsidRPr="00902506" w:rsidRDefault="00A90FE5" w:rsidP="00E76C92">
            <w:pPr>
              <w:jc w:val="both"/>
              <w:rPr>
                <w:snapToGrid w:val="0"/>
                <w:sz w:val="22"/>
                <w:szCs w:val="22"/>
              </w:rPr>
            </w:pPr>
            <w:r w:rsidRPr="00902506">
              <w:rPr>
                <w:snapToGrid w:val="0"/>
                <w:sz w:val="22"/>
                <w:szCs w:val="22"/>
              </w:rPr>
              <w:t xml:space="preserve">- Các đơn vị </w:t>
            </w:r>
            <w:r>
              <w:rPr>
                <w:snapToGrid w:val="0"/>
                <w:sz w:val="22"/>
                <w:szCs w:val="22"/>
              </w:rPr>
              <w:t xml:space="preserve">trực </w:t>
            </w:r>
            <w:r w:rsidRPr="00902506">
              <w:rPr>
                <w:snapToGrid w:val="0"/>
                <w:sz w:val="22"/>
                <w:szCs w:val="22"/>
              </w:rPr>
              <w:t>thuộc Bộ;</w:t>
            </w:r>
          </w:p>
          <w:p w:rsidR="00A90FE5" w:rsidRDefault="00A90FE5" w:rsidP="00E76C92">
            <w:pPr>
              <w:jc w:val="both"/>
              <w:rPr>
                <w:snapToGrid w:val="0"/>
                <w:sz w:val="22"/>
                <w:szCs w:val="22"/>
              </w:rPr>
            </w:pPr>
            <w:r w:rsidRPr="00902506">
              <w:rPr>
                <w:snapToGrid w:val="0"/>
                <w:sz w:val="22"/>
                <w:szCs w:val="22"/>
              </w:rPr>
              <w:t xml:space="preserve">- Công an </w:t>
            </w:r>
            <w:r w:rsidR="008E77E9">
              <w:rPr>
                <w:snapToGrid w:val="0"/>
                <w:sz w:val="22"/>
                <w:szCs w:val="22"/>
              </w:rPr>
              <w:t>cấp tỉnh</w:t>
            </w:r>
            <w:r w:rsidRPr="00902506">
              <w:rPr>
                <w:snapToGrid w:val="0"/>
                <w:sz w:val="22"/>
                <w:szCs w:val="22"/>
              </w:rPr>
              <w:t>;</w:t>
            </w:r>
          </w:p>
          <w:p w:rsidR="00A90FE5" w:rsidRPr="00902506" w:rsidRDefault="00A90FE5" w:rsidP="00E76C92">
            <w:pPr>
              <w:jc w:val="both"/>
              <w:rPr>
                <w:snapToGrid w:val="0"/>
                <w:sz w:val="22"/>
                <w:szCs w:val="22"/>
              </w:rPr>
            </w:pPr>
            <w:r>
              <w:rPr>
                <w:snapToGrid w:val="0"/>
                <w:sz w:val="22"/>
                <w:szCs w:val="22"/>
              </w:rPr>
              <w:t>- Cục Kiểm tra văn bản quy phạm pháp luật Bộ Tư pháp;</w:t>
            </w:r>
          </w:p>
          <w:p w:rsidR="00A90FE5" w:rsidRPr="00902506" w:rsidRDefault="00A90FE5" w:rsidP="00E76C92">
            <w:pPr>
              <w:jc w:val="both"/>
              <w:rPr>
                <w:snapToGrid w:val="0"/>
                <w:sz w:val="22"/>
                <w:szCs w:val="22"/>
              </w:rPr>
            </w:pPr>
            <w:r w:rsidRPr="00902506">
              <w:rPr>
                <w:snapToGrid w:val="0"/>
                <w:sz w:val="22"/>
                <w:szCs w:val="22"/>
              </w:rPr>
              <w:t>- Cổng thông tin điện tử Bộ Công an;</w:t>
            </w:r>
          </w:p>
          <w:p w:rsidR="00A90FE5" w:rsidRPr="00902506" w:rsidRDefault="00A90FE5" w:rsidP="00E05001">
            <w:pPr>
              <w:jc w:val="both"/>
              <w:rPr>
                <w:snapToGrid w:val="0"/>
                <w:sz w:val="22"/>
                <w:szCs w:val="22"/>
              </w:rPr>
            </w:pPr>
            <w:r w:rsidRPr="00902506">
              <w:rPr>
                <w:snapToGrid w:val="0"/>
                <w:sz w:val="22"/>
                <w:szCs w:val="22"/>
              </w:rPr>
              <w:t xml:space="preserve">- Lưu: VT, </w:t>
            </w:r>
            <w:r w:rsidR="00E05001">
              <w:rPr>
                <w:snapToGrid w:val="0"/>
                <w:sz w:val="22"/>
                <w:szCs w:val="22"/>
              </w:rPr>
              <w:t xml:space="preserve">C09, </w:t>
            </w:r>
            <w:r w:rsidRPr="00902506">
              <w:rPr>
                <w:snapToGrid w:val="0"/>
                <w:sz w:val="22"/>
                <w:szCs w:val="22"/>
              </w:rPr>
              <w:t>V03.</w:t>
            </w:r>
          </w:p>
        </w:tc>
        <w:tc>
          <w:tcPr>
            <w:tcW w:w="3697" w:type="dxa"/>
          </w:tcPr>
          <w:p w:rsidR="00A90FE5" w:rsidRPr="00902506" w:rsidRDefault="00A90FE5" w:rsidP="00E76C92">
            <w:pPr>
              <w:jc w:val="center"/>
              <w:rPr>
                <w:b/>
                <w:snapToGrid w:val="0"/>
              </w:rPr>
            </w:pPr>
            <w:r w:rsidRPr="00902506">
              <w:rPr>
                <w:b/>
                <w:snapToGrid w:val="0"/>
                <w:sz w:val="26"/>
              </w:rPr>
              <w:t>BỘ TRƯỞNG</w:t>
            </w:r>
          </w:p>
          <w:p w:rsidR="00A90FE5" w:rsidRPr="00902506" w:rsidRDefault="00A90FE5" w:rsidP="00E76C92">
            <w:pPr>
              <w:jc w:val="center"/>
              <w:rPr>
                <w:b/>
                <w:snapToGrid w:val="0"/>
              </w:rPr>
            </w:pPr>
          </w:p>
          <w:p w:rsidR="00A90FE5" w:rsidRPr="00902506" w:rsidRDefault="00A90FE5" w:rsidP="00E76C92">
            <w:pPr>
              <w:jc w:val="center"/>
              <w:rPr>
                <w:b/>
                <w:snapToGrid w:val="0"/>
              </w:rPr>
            </w:pPr>
          </w:p>
          <w:p w:rsidR="00A90FE5" w:rsidRDefault="00A90FE5" w:rsidP="00E76C92">
            <w:pPr>
              <w:jc w:val="center"/>
              <w:rPr>
                <w:b/>
                <w:snapToGrid w:val="0"/>
              </w:rPr>
            </w:pPr>
          </w:p>
          <w:p w:rsidR="008E77E9" w:rsidRPr="00902506" w:rsidRDefault="008E77E9" w:rsidP="00E76C92">
            <w:pPr>
              <w:jc w:val="center"/>
              <w:rPr>
                <w:b/>
                <w:snapToGrid w:val="0"/>
              </w:rPr>
            </w:pPr>
          </w:p>
          <w:p w:rsidR="00A90FE5" w:rsidRPr="00902506" w:rsidRDefault="00A90FE5" w:rsidP="00E76C92">
            <w:pPr>
              <w:jc w:val="center"/>
              <w:rPr>
                <w:b/>
                <w:snapToGrid w:val="0"/>
              </w:rPr>
            </w:pPr>
          </w:p>
          <w:p w:rsidR="00A90FE5" w:rsidRPr="00902506" w:rsidRDefault="00A90FE5" w:rsidP="00E76C92">
            <w:pPr>
              <w:jc w:val="center"/>
              <w:rPr>
                <w:b/>
                <w:snapToGrid w:val="0"/>
              </w:rPr>
            </w:pPr>
            <w:r w:rsidRPr="00902506">
              <w:rPr>
                <w:b/>
                <w:snapToGrid w:val="0"/>
              </w:rPr>
              <w:t>Đại tướng Tô Lâm</w:t>
            </w:r>
          </w:p>
        </w:tc>
      </w:tr>
    </w:tbl>
    <w:p w:rsidR="00ED1D01" w:rsidRPr="00642161" w:rsidRDefault="00ED1D01" w:rsidP="00E37BF4">
      <w:pPr>
        <w:spacing w:before="120"/>
        <w:jc w:val="both"/>
        <w:rPr>
          <w:lang w:val="sv-SE"/>
        </w:rPr>
      </w:pPr>
    </w:p>
    <w:sectPr w:rsidR="00ED1D01" w:rsidRPr="00642161" w:rsidSect="00AA267A">
      <w:headerReference w:type="default" r:id="rId7"/>
      <w:footerReference w:type="even" r:id="rId8"/>
      <w:footerReference w:type="default" r:id="rId9"/>
      <w:head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1488" w:rsidRDefault="00A61488">
      <w:r>
        <w:separator/>
      </w:r>
    </w:p>
  </w:endnote>
  <w:endnote w:type="continuationSeparator" w:id="0">
    <w:p w:rsidR="00A61488" w:rsidRDefault="00A6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5D11" w:rsidRDefault="007F5D11">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7F5D11" w:rsidRDefault="007F5D11">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5D11" w:rsidRDefault="007F5D11">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1488" w:rsidRDefault="00A61488">
      <w:r>
        <w:separator/>
      </w:r>
    </w:p>
  </w:footnote>
  <w:footnote w:type="continuationSeparator" w:id="0">
    <w:p w:rsidR="00A61488" w:rsidRDefault="00A6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267A" w:rsidRDefault="00AA267A">
    <w:pPr>
      <w:pStyle w:val="utrang"/>
      <w:jc w:val="center"/>
    </w:pPr>
    <w:r>
      <w:fldChar w:fldCharType="begin"/>
    </w:r>
    <w:r>
      <w:instrText xml:space="preserve"> PAGE   \* MERGEFORMAT </w:instrText>
    </w:r>
    <w:r>
      <w:fldChar w:fldCharType="separate"/>
    </w:r>
    <w:r w:rsidR="00F31204">
      <w:rPr>
        <w:noProof/>
      </w:rPr>
      <w:t>8</w:t>
    </w:r>
    <w:r>
      <w:rPr>
        <w:noProof/>
      </w:rPr>
      <w:fldChar w:fldCharType="end"/>
    </w:r>
  </w:p>
  <w:p w:rsidR="00AA267A" w:rsidRDefault="00AA267A">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267A" w:rsidRDefault="00AA267A">
    <w:pPr>
      <w:pStyle w:val="utrang"/>
      <w:jc w:val="center"/>
    </w:pPr>
  </w:p>
  <w:p w:rsidR="00AA267A" w:rsidRDefault="00AA267A">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F75A3"/>
    <w:multiLevelType w:val="hybridMultilevel"/>
    <w:tmpl w:val="5FDE21A8"/>
    <w:lvl w:ilvl="0" w:tplc="F7E467CC">
      <w:start w:val="1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95"/>
    <w:rsid w:val="00026CF6"/>
    <w:rsid w:val="00057C6A"/>
    <w:rsid w:val="00074BD2"/>
    <w:rsid w:val="000A0372"/>
    <w:rsid w:val="000C587E"/>
    <w:rsid w:val="000D342D"/>
    <w:rsid w:val="000E27C8"/>
    <w:rsid w:val="000F291D"/>
    <w:rsid w:val="001073C2"/>
    <w:rsid w:val="0011529A"/>
    <w:rsid w:val="001552A6"/>
    <w:rsid w:val="00181314"/>
    <w:rsid w:val="00187F09"/>
    <w:rsid w:val="00195E93"/>
    <w:rsid w:val="0019602B"/>
    <w:rsid w:val="001D0BF3"/>
    <w:rsid w:val="001D5355"/>
    <w:rsid w:val="001E6652"/>
    <w:rsid w:val="001F6AF1"/>
    <w:rsid w:val="00200F20"/>
    <w:rsid w:val="00210580"/>
    <w:rsid w:val="00233016"/>
    <w:rsid w:val="00250183"/>
    <w:rsid w:val="002764E7"/>
    <w:rsid w:val="00280514"/>
    <w:rsid w:val="00282267"/>
    <w:rsid w:val="00287581"/>
    <w:rsid w:val="002B1F11"/>
    <w:rsid w:val="002B2476"/>
    <w:rsid w:val="002B7FB3"/>
    <w:rsid w:val="002C70ED"/>
    <w:rsid w:val="002D0DFA"/>
    <w:rsid w:val="002D5C1B"/>
    <w:rsid w:val="00302DB9"/>
    <w:rsid w:val="00316DE2"/>
    <w:rsid w:val="00333DC2"/>
    <w:rsid w:val="00334523"/>
    <w:rsid w:val="00336B59"/>
    <w:rsid w:val="00340F45"/>
    <w:rsid w:val="00353F71"/>
    <w:rsid w:val="0036298B"/>
    <w:rsid w:val="00365C2F"/>
    <w:rsid w:val="00375D74"/>
    <w:rsid w:val="003831D0"/>
    <w:rsid w:val="00391DB5"/>
    <w:rsid w:val="003A16ED"/>
    <w:rsid w:val="003F1C8D"/>
    <w:rsid w:val="00404FE3"/>
    <w:rsid w:val="004248CF"/>
    <w:rsid w:val="00431BBB"/>
    <w:rsid w:val="00441889"/>
    <w:rsid w:val="00456FE7"/>
    <w:rsid w:val="004723FE"/>
    <w:rsid w:val="004A4F75"/>
    <w:rsid w:val="004B259C"/>
    <w:rsid w:val="004B5BB8"/>
    <w:rsid w:val="004B6AE2"/>
    <w:rsid w:val="004F1F4A"/>
    <w:rsid w:val="005201D0"/>
    <w:rsid w:val="00522918"/>
    <w:rsid w:val="00556E4C"/>
    <w:rsid w:val="005941D6"/>
    <w:rsid w:val="005D1CFC"/>
    <w:rsid w:val="005E0626"/>
    <w:rsid w:val="005F475B"/>
    <w:rsid w:val="0060521C"/>
    <w:rsid w:val="00631722"/>
    <w:rsid w:val="006705B0"/>
    <w:rsid w:val="00696066"/>
    <w:rsid w:val="006A288D"/>
    <w:rsid w:val="006B1DE9"/>
    <w:rsid w:val="006B27F4"/>
    <w:rsid w:val="00711FD0"/>
    <w:rsid w:val="00715A48"/>
    <w:rsid w:val="00744E7C"/>
    <w:rsid w:val="00744FF6"/>
    <w:rsid w:val="00754FD6"/>
    <w:rsid w:val="00766D1D"/>
    <w:rsid w:val="00774741"/>
    <w:rsid w:val="00783C93"/>
    <w:rsid w:val="00784A4B"/>
    <w:rsid w:val="007945DB"/>
    <w:rsid w:val="00794D17"/>
    <w:rsid w:val="00797773"/>
    <w:rsid w:val="007A36EB"/>
    <w:rsid w:val="007B38A8"/>
    <w:rsid w:val="007B7987"/>
    <w:rsid w:val="007D1668"/>
    <w:rsid w:val="007D6B68"/>
    <w:rsid w:val="007E4E18"/>
    <w:rsid w:val="007F07CB"/>
    <w:rsid w:val="007F5D11"/>
    <w:rsid w:val="00805015"/>
    <w:rsid w:val="008147C8"/>
    <w:rsid w:val="00830D77"/>
    <w:rsid w:val="00861B8B"/>
    <w:rsid w:val="008665DA"/>
    <w:rsid w:val="008770A4"/>
    <w:rsid w:val="00890103"/>
    <w:rsid w:val="00892FBF"/>
    <w:rsid w:val="008A331F"/>
    <w:rsid w:val="008B480B"/>
    <w:rsid w:val="008C369C"/>
    <w:rsid w:val="008E0AC7"/>
    <w:rsid w:val="008E77E9"/>
    <w:rsid w:val="008F4915"/>
    <w:rsid w:val="00916DEE"/>
    <w:rsid w:val="009467F0"/>
    <w:rsid w:val="009A037D"/>
    <w:rsid w:val="009D4CC8"/>
    <w:rsid w:val="00A43378"/>
    <w:rsid w:val="00A45FB4"/>
    <w:rsid w:val="00A52010"/>
    <w:rsid w:val="00A53BA5"/>
    <w:rsid w:val="00A61488"/>
    <w:rsid w:val="00A6471A"/>
    <w:rsid w:val="00A65B29"/>
    <w:rsid w:val="00A90FE5"/>
    <w:rsid w:val="00A96FF6"/>
    <w:rsid w:val="00AA267A"/>
    <w:rsid w:val="00AB099A"/>
    <w:rsid w:val="00B04AA8"/>
    <w:rsid w:val="00B44D37"/>
    <w:rsid w:val="00B846EB"/>
    <w:rsid w:val="00B876E6"/>
    <w:rsid w:val="00B951D8"/>
    <w:rsid w:val="00BA4CDD"/>
    <w:rsid w:val="00BB6AEE"/>
    <w:rsid w:val="00BC4729"/>
    <w:rsid w:val="00BE4D65"/>
    <w:rsid w:val="00BE7F3B"/>
    <w:rsid w:val="00C12271"/>
    <w:rsid w:val="00C16775"/>
    <w:rsid w:val="00C26E40"/>
    <w:rsid w:val="00C472BF"/>
    <w:rsid w:val="00C751CC"/>
    <w:rsid w:val="00C841CD"/>
    <w:rsid w:val="00CE156C"/>
    <w:rsid w:val="00CE1EBE"/>
    <w:rsid w:val="00CF3A9E"/>
    <w:rsid w:val="00D0524A"/>
    <w:rsid w:val="00D17BC6"/>
    <w:rsid w:val="00D31614"/>
    <w:rsid w:val="00D341A5"/>
    <w:rsid w:val="00D34679"/>
    <w:rsid w:val="00D40F54"/>
    <w:rsid w:val="00D469BB"/>
    <w:rsid w:val="00D704D7"/>
    <w:rsid w:val="00D75495"/>
    <w:rsid w:val="00D923C3"/>
    <w:rsid w:val="00DA2FE1"/>
    <w:rsid w:val="00DE4F84"/>
    <w:rsid w:val="00DF249E"/>
    <w:rsid w:val="00E04111"/>
    <w:rsid w:val="00E05001"/>
    <w:rsid w:val="00E101EF"/>
    <w:rsid w:val="00E25D4B"/>
    <w:rsid w:val="00E26E5F"/>
    <w:rsid w:val="00E37BF4"/>
    <w:rsid w:val="00E6113F"/>
    <w:rsid w:val="00E76C92"/>
    <w:rsid w:val="00E82936"/>
    <w:rsid w:val="00EA7F7D"/>
    <w:rsid w:val="00EC2ACC"/>
    <w:rsid w:val="00EC6A0E"/>
    <w:rsid w:val="00ED1D01"/>
    <w:rsid w:val="00EE5EBE"/>
    <w:rsid w:val="00F03586"/>
    <w:rsid w:val="00F1323A"/>
    <w:rsid w:val="00F201F6"/>
    <w:rsid w:val="00F31204"/>
    <w:rsid w:val="00F643C8"/>
    <w:rsid w:val="00F67CCB"/>
    <w:rsid w:val="00F74A48"/>
    <w:rsid w:val="00FD007E"/>
    <w:rsid w:val="00FD7BE2"/>
    <w:rsid w:val="00FE5D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E1636"/>
  <w15:chartTrackingRefBased/>
  <w15:docId w15:val="{EEB36DE0-EE40-4341-A23B-5E24ECC8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8"/>
      <w:szCs w:val="28"/>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Char">
    <w:name w:val=" Char"/>
    <w:basedOn w:val="Binhthng"/>
    <w:pPr>
      <w:spacing w:after="160" w:line="240" w:lineRule="exact"/>
    </w:pPr>
    <w:rPr>
      <w:rFonts w:ascii="Verdana" w:eastAsia="MS Mincho" w:hAnsi="Verdana"/>
      <w:sz w:val="20"/>
      <w:szCs w:val="20"/>
    </w:rPr>
  </w:style>
  <w:style w:type="paragraph" w:styleId="Chntrang">
    <w:name w:val="footer"/>
    <w:basedOn w:val="Binhthng"/>
    <w:pPr>
      <w:tabs>
        <w:tab w:val="center" w:pos="4320"/>
        <w:tab w:val="right" w:pos="8640"/>
      </w:tabs>
    </w:pPr>
  </w:style>
  <w:style w:type="character" w:styleId="Strang">
    <w:name w:val="page number"/>
    <w:basedOn w:val="Phngmcinhcuaoanvn"/>
  </w:style>
  <w:style w:type="paragraph" w:styleId="Bongchuthich">
    <w:name w:val="Balloon Text"/>
    <w:basedOn w:val="Binhthng"/>
    <w:semiHidden/>
    <w:rPr>
      <w:rFonts w:ascii="Tahoma" w:hAnsi="Tahoma" w:cs="Tahoma"/>
      <w:sz w:val="16"/>
      <w:szCs w:val="16"/>
    </w:rPr>
  </w:style>
  <w:style w:type="paragraph" w:customStyle="1" w:styleId="DefaultParagraphFontParaCharCharCharCharChar">
    <w:name w:val="Default Paragraph Font Para Char Char Char Char Char"/>
    <w:autoRedefine/>
    <w:rsid w:val="00181314"/>
    <w:pPr>
      <w:tabs>
        <w:tab w:val="left" w:pos="1152"/>
      </w:tabs>
      <w:spacing w:before="120" w:after="120" w:line="312" w:lineRule="auto"/>
    </w:pPr>
    <w:rPr>
      <w:rFonts w:ascii="Arial" w:hAnsi="Arial" w:cs="Arial"/>
      <w:sz w:val="26"/>
      <w:szCs w:val="26"/>
      <w:lang w:val="en-US" w:eastAsia="en-US"/>
    </w:rPr>
  </w:style>
  <w:style w:type="paragraph" w:styleId="utrang">
    <w:name w:val="header"/>
    <w:basedOn w:val="Binhthng"/>
    <w:link w:val="utrangChar"/>
    <w:uiPriority w:val="99"/>
    <w:rsid w:val="00783C93"/>
    <w:pPr>
      <w:tabs>
        <w:tab w:val="center" w:pos="4680"/>
        <w:tab w:val="right" w:pos="9360"/>
      </w:tabs>
    </w:pPr>
  </w:style>
  <w:style w:type="character" w:customStyle="1" w:styleId="utrangChar">
    <w:name w:val="Đầu trang Char"/>
    <w:link w:val="utrang"/>
    <w:uiPriority w:val="99"/>
    <w:rsid w:val="00783C93"/>
    <w:rPr>
      <w:sz w:val="28"/>
      <w:szCs w:val="28"/>
    </w:rPr>
  </w:style>
  <w:style w:type="paragraph" w:customStyle="1" w:styleId="Char1">
    <w:name w:val="Char1"/>
    <w:basedOn w:val="Binhthng"/>
    <w:rsid w:val="00A90FE5"/>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2155C5-4FF9-45FB-B2C0-6E113AC0E699}"/>
</file>

<file path=customXml/itemProps2.xml><?xml version="1.0" encoding="utf-8"?>
<ds:datastoreItem xmlns:ds="http://schemas.openxmlformats.org/officeDocument/2006/customXml" ds:itemID="{C49C5A0E-E307-4DE3-BD6E-56D5852380B4}"/>
</file>

<file path=customXml/itemProps3.xml><?xml version="1.0" encoding="utf-8"?>
<ds:datastoreItem xmlns:ds="http://schemas.openxmlformats.org/officeDocument/2006/customXml" ds:itemID="{7F79FE12-29FB-45F1-86F5-E59348B277A4}"/>
</file>

<file path=docProps/app.xml><?xml version="1.0" encoding="utf-8"?>
<Properties xmlns="http://schemas.openxmlformats.org/officeDocument/2006/extended-properties" xmlns:vt="http://schemas.openxmlformats.org/officeDocument/2006/docPropsVTypes">
  <Template>Normal</Template>
  <TotalTime>0</TotalTime>
  <Pages>12</Pages>
  <Words>4106</Words>
  <Characters>23409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Bộ Công an</vt:lpstr>
    </vt:vector>
  </TitlesOfParts>
  <Company>CHIEN THANG IC</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dc:title>
  <dc:subject/>
  <dc:creator>THINH HANH</dc:creator>
  <cp:keywords/>
  <cp:lastModifiedBy>minhthangdl1@gmail.com</cp:lastModifiedBy>
  <cp:revision>3</cp:revision>
  <cp:lastPrinted>2021-10-22T08:10:00Z</cp:lastPrinted>
  <dcterms:created xsi:type="dcterms:W3CDTF">2021-11-12T00:59:00Z</dcterms:created>
  <dcterms:modified xsi:type="dcterms:W3CDTF">2021-11-12T00:59:00Z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